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BE" w:rsidRDefault="0048412C" w:rsidP="00065B0B">
      <w:pPr>
        <w:jc w:val="center"/>
        <w:rPr>
          <w:rFonts w:ascii="SassoonPrimaryInfant" w:eastAsia="SassoonPrimaryInfant" w:hAnsi="SassoonPrimaryInfant" w:cs="SassoonPrimaryInfant"/>
          <w:b/>
          <w:color w:val="FF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SassoonPrimaryInfant" w:eastAsia="SassoonPrimaryInfant" w:hAnsi="SassoonPrimaryInfant" w:cs="SassoonPrimaryInfant"/>
          <w:b/>
          <w:color w:val="FF0000"/>
        </w:rPr>
        <w:t>Half Term Curriculum Plan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8353425</wp:posOffset>
            </wp:positionH>
            <wp:positionV relativeFrom="paragraph">
              <wp:posOffset>-852169</wp:posOffset>
            </wp:positionV>
            <wp:extent cx="1217930" cy="102870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2126"/>
        <w:gridCol w:w="2835"/>
        <w:gridCol w:w="5528"/>
      </w:tblGrid>
      <w:tr w:rsidR="00BF22BE">
        <w:trPr>
          <w:trHeight w:val="338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22BE" w:rsidRDefault="0048412C">
            <w:pPr>
              <w:spacing w:after="0" w:line="240" w:lineRule="auto"/>
            </w:pPr>
            <w:r>
              <w:rPr>
                <w:b/>
              </w:rPr>
              <w:t>Term:</w:t>
            </w:r>
            <w:r>
              <w:t xml:space="preserve"> Autumn </w:t>
            </w:r>
            <w:r w:rsidR="003D54BD">
              <w:t>2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2BE" w:rsidRDefault="0048412C">
            <w:pPr>
              <w:spacing w:after="0" w:line="240" w:lineRule="auto"/>
              <w:ind w:right="-3537"/>
            </w:pPr>
            <w:r>
              <w:rPr>
                <w:b/>
              </w:rPr>
              <w:t xml:space="preserve">Theme: </w:t>
            </w:r>
            <w:r w:rsidR="003D54BD">
              <w:t>The Iron Man</w:t>
            </w:r>
          </w:p>
        </w:tc>
      </w:tr>
      <w:tr w:rsidR="00BF22BE">
        <w:trPr>
          <w:trHeight w:val="1701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54BD" w:rsidRDefault="003D54BD" w:rsidP="003D54BD">
            <w:pPr>
              <w:snapToGrid w:val="0"/>
              <w:spacing w:after="0" w:line="240" w:lineRule="auto"/>
              <w:rPr>
                <w:rFonts w:ascii="SassoonPrimaryInfant" w:hAnsi="SassoonPrimaryInfant"/>
              </w:rPr>
            </w:pPr>
            <w:r w:rsidRPr="00C91185">
              <w:rPr>
                <w:rFonts w:ascii="SassoonPrimaryInfant" w:hAnsi="SassoonPrimaryInfant"/>
              </w:rPr>
              <w:t xml:space="preserve">Key Questions: </w:t>
            </w:r>
          </w:p>
          <w:p w:rsidR="003D54BD" w:rsidRPr="00933B0D" w:rsidRDefault="003D54BD" w:rsidP="003D54BD">
            <w:pPr>
              <w:snapToGrid w:val="0"/>
              <w:spacing w:after="0" w:line="240" w:lineRule="auto"/>
              <w:rPr>
                <w:rFonts w:ascii="SassoonPrimaryInfant" w:hAnsi="SassoonPrimaryInfant"/>
                <w:sz w:val="12"/>
                <w:szCs w:val="12"/>
              </w:rPr>
            </w:pPr>
          </w:p>
          <w:p w:rsidR="003D54BD" w:rsidRPr="009B3BA2" w:rsidRDefault="003D54BD" w:rsidP="003D54B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Are all monsters bad?</w:t>
            </w:r>
          </w:p>
          <w:p w:rsidR="003D54BD" w:rsidRPr="007349DF" w:rsidRDefault="003D54BD" w:rsidP="003D54BD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What makes people good or bad?</w:t>
            </w:r>
          </w:p>
          <w:p w:rsidR="00BF22BE" w:rsidRPr="00B84E1B" w:rsidRDefault="003D54BD" w:rsidP="003D54B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venir-Light"/>
                <w:sz w:val="20"/>
                <w:szCs w:val="20"/>
                <w:lang w:eastAsia="en-GB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What causes different behaviour?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4BD" w:rsidRPr="00C91185" w:rsidRDefault="003D54BD" w:rsidP="003D54BD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  <w:i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i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03B59A6" wp14:editId="0FEB1AB0">
                  <wp:simplePos x="0" y="0"/>
                  <wp:positionH relativeFrom="column">
                    <wp:posOffset>5197263</wp:posOffset>
                  </wp:positionH>
                  <wp:positionV relativeFrom="paragraph">
                    <wp:posOffset>6985</wp:posOffset>
                  </wp:positionV>
                  <wp:extent cx="1354455" cy="124460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266" y="21159"/>
                      <wp:lineTo x="2126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5" t="39184" r="55725" b="21253"/>
                          <a:stretch/>
                        </pic:blipFill>
                        <pic:spPr bwMode="auto">
                          <a:xfrm>
                            <a:off x="0" y="0"/>
                            <a:ext cx="1354455" cy="124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1185">
              <w:rPr>
                <w:rFonts w:ascii="SassoonPrimaryInfant" w:hAnsi="SassoonPrimaryInfant"/>
                <w:b/>
                <w:i/>
                <w:sz w:val="20"/>
                <w:szCs w:val="20"/>
              </w:rPr>
              <w:t xml:space="preserve">Stimulus: </w:t>
            </w:r>
          </w:p>
          <w:p w:rsidR="003D54BD" w:rsidRDefault="003D54BD" w:rsidP="003D54BD">
            <w:pPr>
              <w:snapToGrid w:val="0"/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 w:rsidRPr="00C91185">
              <w:rPr>
                <w:rFonts w:ascii="SassoonPrimaryInfant" w:hAnsi="SassoonPrimaryInfant"/>
                <w:b/>
                <w:i/>
                <w:sz w:val="20"/>
                <w:szCs w:val="20"/>
              </w:rPr>
              <w:t xml:space="preserve">Text: </w:t>
            </w:r>
            <w:r w:rsidRPr="008F5C0D">
              <w:rPr>
                <w:rFonts w:ascii="SassoonPrimaryInfant" w:hAnsi="SassoonPrimaryInfant"/>
                <w:b/>
                <w:sz w:val="20"/>
                <w:szCs w:val="20"/>
              </w:rPr>
              <w:t>The Iron Man by Ted Hughes</w:t>
            </w:r>
          </w:p>
          <w:p w:rsidR="003D54BD" w:rsidRDefault="003D54BD" w:rsidP="003D54BD">
            <w:pPr>
              <w:snapToGrid w:val="0"/>
              <w:spacing w:after="0"/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In groups, children will design models of the Iron Man, complete with light-up eyes. This will be used a stimulus for writing.  </w:t>
            </w:r>
          </w:p>
          <w:p w:rsidR="003D54BD" w:rsidRPr="009B3BA2" w:rsidRDefault="003D54BD" w:rsidP="003D54BD">
            <w:pPr>
              <w:snapToGrid w:val="0"/>
              <w:spacing w:after="0"/>
              <w:rPr>
                <w:rFonts w:ascii="SassoonPrimaryInfant" w:hAnsi="SassoonPrimaryInfant"/>
                <w:sz w:val="12"/>
                <w:szCs w:val="12"/>
              </w:rPr>
            </w:pPr>
          </w:p>
          <w:p w:rsidR="00B81590" w:rsidRDefault="003D54BD" w:rsidP="003D54BD">
            <w:pPr>
              <w:spacing w:after="0"/>
              <w:rPr>
                <w:sz w:val="20"/>
                <w:szCs w:val="20"/>
              </w:rPr>
            </w:pPr>
            <w:r w:rsidRPr="009B3BA2"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Children </w:t>
            </w:r>
            <w:r>
              <w:rPr>
                <w:rFonts w:ascii="SassoonPrimaryInfant" w:hAnsi="SassoonPrimaryInfant"/>
                <w:color w:val="00B050"/>
                <w:sz w:val="20"/>
                <w:szCs w:val="20"/>
              </w:rPr>
              <w:t>are</w:t>
            </w:r>
            <w:r w:rsidRPr="009B3BA2"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 asked to bring in cardboard </w:t>
            </w:r>
            <w:r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cereal </w:t>
            </w:r>
            <w:r w:rsidRPr="009B3BA2"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boxes </w:t>
            </w:r>
            <w:r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(or similar) </w:t>
            </w:r>
            <w:r w:rsidRPr="009B3BA2">
              <w:rPr>
                <w:rFonts w:ascii="SassoonPrimaryInfant" w:hAnsi="SassoonPrimaryInfant"/>
                <w:color w:val="00B050"/>
                <w:sz w:val="20"/>
                <w:szCs w:val="20"/>
              </w:rPr>
              <w:t xml:space="preserve">and other materials from home – please save your </w:t>
            </w:r>
            <w:r>
              <w:rPr>
                <w:rFonts w:ascii="SassoonPrimaryInfant" w:hAnsi="SassoonPrimaryInfant"/>
                <w:color w:val="00B050"/>
                <w:sz w:val="20"/>
                <w:szCs w:val="20"/>
              </w:rPr>
              <w:t>card cereal boxes for Week 4.</w:t>
            </w:r>
          </w:p>
        </w:tc>
      </w:tr>
      <w:tr w:rsidR="003D54BD" w:rsidTr="001D02C8">
        <w:trPr>
          <w:trHeight w:val="1678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Writers we will:</w:t>
            </w:r>
          </w:p>
          <w:p w:rsidR="003D54BD" w:rsidRPr="008434A8" w:rsidRDefault="007B7B37" w:rsidP="007B7B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Read a range of newspapers</w:t>
            </w:r>
          </w:p>
          <w:p w:rsidR="007B7B37" w:rsidRPr="008434A8" w:rsidRDefault="007B7B37" w:rsidP="007B7B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Investigate the key features of newspaper articles</w:t>
            </w:r>
          </w:p>
          <w:p w:rsidR="007B7B37" w:rsidRPr="008434A8" w:rsidRDefault="007B7B37" w:rsidP="007B7B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Role-play as newspaper reporters interviewing people at the scene of an incident</w:t>
            </w:r>
          </w:p>
          <w:p w:rsidR="007B7B37" w:rsidRPr="008434A8" w:rsidRDefault="007B7B37" w:rsidP="007B7B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Learn how to lay out our writing in the style of a newspaper front page</w:t>
            </w:r>
          </w:p>
          <w:p w:rsidR="007B7B37" w:rsidRPr="008434A8" w:rsidRDefault="007B7B37" w:rsidP="007B7B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Write using direct quotes from our interviews alongside using reported speech</w:t>
            </w:r>
          </w:p>
          <w:p w:rsidR="001E2CE2" w:rsidRPr="001E2CE2" w:rsidRDefault="007B7B37" w:rsidP="001E2C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</w:rPr>
            </w:pPr>
            <w:r w:rsidRPr="008434A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Write an independent newspaper articl</w:t>
            </w:r>
            <w:r w:rsidR="001E2CE2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</w:t>
            </w:r>
          </w:p>
          <w:p w:rsidR="001E2CE2" w:rsidRPr="001E2CE2" w:rsidRDefault="001E2CE2" w:rsidP="001E2CE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SassoonPrimaryInfant" w:hAnsi="SassoonPrimaryInfant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Investigate homophones.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99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Artists we will:</w:t>
            </w:r>
          </w:p>
          <w:p w:rsidR="003D54BD" w:rsidRDefault="003D54BD" w:rsidP="003D4C97">
            <w:pPr>
              <w:spacing w:after="0" w:line="240" w:lineRule="auto"/>
              <w:rPr>
                <w:rFonts w:eastAsia="SassoonPrimaryInfant"/>
                <w:b/>
                <w:sz w:val="16"/>
                <w:szCs w:val="16"/>
              </w:rPr>
            </w:pPr>
          </w:p>
          <w:p w:rsidR="003D4C97" w:rsidRPr="003D4C97" w:rsidRDefault="003D4C97" w:rsidP="003D4C97">
            <w:p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 w:rsidRPr="003D4C97">
              <w:rPr>
                <w:rFonts w:eastAsia="SassoonPrimaryInfant"/>
                <w:sz w:val="16"/>
                <w:szCs w:val="16"/>
              </w:rPr>
              <w:t>N/A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00B050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Designers we will:</w:t>
            </w:r>
          </w:p>
          <w:p w:rsidR="003D54BD" w:rsidRDefault="003D54BD">
            <w:pPr>
              <w:spacing w:after="0" w:line="240" w:lineRule="auto"/>
              <w:rPr>
                <w:sz w:val="16"/>
                <w:szCs w:val="16"/>
              </w:rPr>
            </w:pPr>
          </w:p>
          <w:p w:rsidR="003D4C97" w:rsidRDefault="00D404E5" w:rsidP="003D4C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about how electrical products work</w:t>
            </w:r>
          </w:p>
          <w:p w:rsidR="00D404E5" w:rsidRDefault="00891A82" w:rsidP="003D4C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and evaluate electrical products</w:t>
            </w:r>
          </w:p>
          <w:p w:rsidR="00891A82" w:rsidRDefault="00891A82" w:rsidP="003D4C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 product to meet a specific set of specific user needs</w:t>
            </w:r>
          </w:p>
          <w:p w:rsidR="00891A82" w:rsidRPr="003D4C97" w:rsidRDefault="00891A82" w:rsidP="003D4C9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and evaluate an Iron Man head desk lamp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6633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Computer Engineers we will:</w:t>
            </w:r>
          </w:p>
          <w:p w:rsidR="003D54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that sound can be recorded</w:t>
            </w:r>
          </w:p>
          <w:p w:rsidR="00472B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that audio recordings can be edited</w:t>
            </w:r>
          </w:p>
          <w:p w:rsidR="00472B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Recognise the different parts of creating a podcast project</w:t>
            </w:r>
          </w:p>
          <w:p w:rsidR="00472B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Apply audio editing skills independently</w:t>
            </w:r>
          </w:p>
          <w:p w:rsidR="00472B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Combine audio to enhance a podcast project</w:t>
            </w:r>
          </w:p>
          <w:p w:rsidR="00472BBD" w:rsidRPr="00472BBD" w:rsidRDefault="00472BBD" w:rsidP="00472B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the effective use of audio.</w:t>
            </w:r>
          </w:p>
        </w:tc>
      </w:tr>
      <w:tr w:rsidR="003D54BD" w:rsidTr="003172F5">
        <w:trPr>
          <w:trHeight w:val="673"/>
        </w:trPr>
        <w:tc>
          <w:tcPr>
            <w:tcW w:w="49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99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00B050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3D54BD" w:rsidRDefault="003D54BD" w:rsidP="006E56AE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Musicians we will:</w:t>
            </w:r>
          </w:p>
          <w:p w:rsidR="003172F5" w:rsidRPr="003172F5" w:rsidRDefault="003D54BD" w:rsidP="003172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eastAsia="SassoonPrimaryInfant"/>
                <w:sz w:val="16"/>
              </w:rPr>
              <w:t xml:space="preserve">Listen to a song / appraise a song / learn a song / perform a song: </w:t>
            </w:r>
            <w:r w:rsidR="003172F5">
              <w:rPr>
                <w:rFonts w:eastAsia="SassoonPrimaryInfant"/>
                <w:sz w:val="16"/>
              </w:rPr>
              <w:t>Stop!</w:t>
            </w:r>
            <w:r w:rsidR="001D02C8">
              <w:rPr>
                <w:rFonts w:eastAsia="SassoonPrimaryInfant"/>
                <w:sz w:val="16"/>
              </w:rPr>
              <w:t xml:space="preserve"> by Joanna </w:t>
            </w:r>
            <w:proofErr w:type="spellStart"/>
            <w:r w:rsidR="001D02C8">
              <w:rPr>
                <w:rFonts w:eastAsia="SassoonPrimaryInfant"/>
                <w:sz w:val="16"/>
              </w:rPr>
              <w:t>Mangona</w:t>
            </w:r>
            <w:proofErr w:type="spellEnd"/>
          </w:p>
          <w:p w:rsidR="003172F5" w:rsidRPr="003172F5" w:rsidRDefault="003172F5" w:rsidP="003172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Calibri" w:eastAsia="SassoonPrimaryInfant" w:hAnsi="Calibri" w:cs="Calibri"/>
                <w:sz w:val="16"/>
              </w:rPr>
              <w:t xml:space="preserve">Listen to </w:t>
            </w:r>
            <w:proofErr w:type="spellStart"/>
            <w:r>
              <w:rPr>
                <w:rFonts w:ascii="Calibri" w:eastAsia="SassoonPrimaryInfant" w:hAnsi="Calibri" w:cs="Calibri"/>
                <w:sz w:val="16"/>
              </w:rPr>
              <w:t>Gotta</w:t>
            </w:r>
            <w:proofErr w:type="spellEnd"/>
            <w:r>
              <w:rPr>
                <w:rFonts w:ascii="Calibri" w:eastAsia="SassoonPrimaryInfant" w:hAnsi="Calibri" w:cs="Calibri"/>
                <w:sz w:val="16"/>
              </w:rPr>
              <w:t xml:space="preserve"> Be Me</w:t>
            </w:r>
            <w:r w:rsidR="001D02C8">
              <w:rPr>
                <w:rFonts w:ascii="Calibri" w:eastAsia="SassoonPrimaryInfant" w:hAnsi="Calibri" w:cs="Calibri"/>
                <w:sz w:val="16"/>
              </w:rPr>
              <w:t xml:space="preserve"> by Secret Agent 23 Skidoo</w:t>
            </w:r>
            <w:r>
              <w:rPr>
                <w:rFonts w:ascii="Calibri" w:eastAsia="SassoonPrimaryInfant" w:hAnsi="Calibri" w:cs="Calibri"/>
                <w:sz w:val="16"/>
              </w:rPr>
              <w:t>, Radetzky March by Strauss, Can’t Stop The Feeling</w:t>
            </w:r>
            <w:r w:rsidR="001D02C8">
              <w:rPr>
                <w:rFonts w:ascii="Calibri" w:eastAsia="SassoonPrimaryInfant" w:hAnsi="Calibri" w:cs="Calibri"/>
                <w:sz w:val="16"/>
              </w:rPr>
              <w:t xml:space="preserve"> by Justin Timberlake</w:t>
            </w:r>
            <w:r>
              <w:rPr>
                <w:rFonts w:ascii="Calibri" w:eastAsia="SassoonPrimaryInfant" w:hAnsi="Calibri" w:cs="Calibri"/>
                <w:sz w:val="16"/>
              </w:rPr>
              <w:t xml:space="preserve">, </w:t>
            </w:r>
            <w:proofErr w:type="spellStart"/>
            <w:r>
              <w:rPr>
                <w:rFonts w:ascii="Calibri" w:eastAsia="SassoonPrimaryInfant" w:hAnsi="Calibri" w:cs="Calibri"/>
                <w:sz w:val="16"/>
              </w:rPr>
              <w:t>Libertango</w:t>
            </w:r>
            <w:proofErr w:type="spellEnd"/>
            <w:r>
              <w:rPr>
                <w:rFonts w:ascii="Calibri" w:eastAsia="SassoonPrimaryInfant" w:hAnsi="Calibri" w:cs="Calibri"/>
                <w:sz w:val="16"/>
              </w:rPr>
              <w:t xml:space="preserve"> by Astor </w:t>
            </w:r>
            <w:proofErr w:type="spellStart"/>
            <w:r>
              <w:rPr>
                <w:rFonts w:ascii="Calibri" w:eastAsia="SassoonPrimaryInfant" w:hAnsi="Calibri" w:cs="Calibri"/>
                <w:sz w:val="16"/>
              </w:rPr>
              <w:t>Piazallo</w:t>
            </w:r>
            <w:proofErr w:type="spellEnd"/>
            <w:r>
              <w:rPr>
                <w:rFonts w:ascii="Calibri" w:eastAsia="SassoonPrimaryInfant" w:hAnsi="Calibri" w:cs="Calibri"/>
                <w:sz w:val="16"/>
              </w:rPr>
              <w:t xml:space="preserve"> and Mas Que Nada by the Black-Eyed Peas</w:t>
            </w:r>
          </w:p>
        </w:tc>
      </w:tr>
      <w:tr w:rsidR="003D54BD" w:rsidTr="001D02C8">
        <w:trPr>
          <w:trHeight w:val="733"/>
        </w:trPr>
        <w:tc>
          <w:tcPr>
            <w:tcW w:w="4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Mathematicians we will:</w:t>
            </w:r>
          </w:p>
          <w:p w:rsidR="003D54BD" w:rsidRDefault="00244F89" w:rsidP="003D54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Investi</w:t>
            </w:r>
            <w:r w:rsidR="008434A8">
              <w:rPr>
                <w:rFonts w:eastAsia="SassoonPrimaryInfant"/>
                <w:sz w:val="16"/>
                <w:szCs w:val="16"/>
              </w:rPr>
              <w:t>gate area by counting squares, making shapes and comparing areas of shapes</w:t>
            </w:r>
          </w:p>
          <w:p w:rsidR="008434A8" w:rsidRDefault="008434A8" w:rsidP="003D54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Learn multiples of 3</w:t>
            </w:r>
          </w:p>
          <w:p w:rsidR="008434A8" w:rsidRPr="008434A8" w:rsidRDefault="008434A8" w:rsidP="008434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Multiply and divide by 6; m</w:t>
            </w:r>
            <w:r w:rsidRPr="008434A8">
              <w:rPr>
                <w:rFonts w:eastAsia="SassoonPrimaryInfant"/>
                <w:sz w:val="16"/>
                <w:szCs w:val="16"/>
              </w:rPr>
              <w:t>ultiply and divide by 9</w:t>
            </w:r>
          </w:p>
          <w:p w:rsidR="008434A8" w:rsidRDefault="008434A8" w:rsidP="003D54B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Multiply by 1 and 0</w:t>
            </w:r>
          </w:p>
          <w:p w:rsidR="003D54BD" w:rsidRDefault="008434A8" w:rsidP="008434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Divide a number by 1 and itself</w:t>
            </w:r>
          </w:p>
          <w:p w:rsidR="008434A8" w:rsidRPr="008434A8" w:rsidRDefault="008434A8" w:rsidP="008434A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Multiply three numbers.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00B050"/>
          </w:tcPr>
          <w:p w:rsidR="003D54BD" w:rsidRDefault="003D54BD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:rsidR="003D54BD" w:rsidRPr="006E56AE" w:rsidRDefault="003D54BD" w:rsidP="006E56A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SassoonPrimaryInfant"/>
                <w:sz w:val="16"/>
              </w:rPr>
            </w:pPr>
          </w:p>
        </w:tc>
      </w:tr>
      <w:tr w:rsidR="00BF22BE" w:rsidTr="00283629">
        <w:trPr>
          <w:trHeight w:val="1416"/>
        </w:trPr>
        <w:tc>
          <w:tcPr>
            <w:tcW w:w="4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BF22BE" w:rsidRDefault="00BF2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assoonPrimaryInfant" w:eastAsia="SassoonPrimaryInfant" w:hAnsi="SassoonPrimaryInfant" w:cs="SassoonPrimaryInfant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</w:tcPr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French speakers we will:</w:t>
            </w:r>
          </w:p>
          <w:p w:rsidR="00CD5A1A" w:rsidRDefault="00EF1919" w:rsidP="00EF19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Learn about French adjectives</w:t>
            </w:r>
          </w:p>
          <w:p w:rsidR="00EF1919" w:rsidRDefault="00EF1919" w:rsidP="00EF19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Learn about food</w:t>
            </w:r>
          </w:p>
          <w:p w:rsidR="00EF1919" w:rsidRDefault="00EF1919" w:rsidP="00EF19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Learn how to give an opinion about food</w:t>
            </w:r>
          </w:p>
          <w:p w:rsidR="00EF1919" w:rsidRPr="00EF1919" w:rsidRDefault="00EF1919" w:rsidP="00EF19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SassoonPrimaryInfant"/>
                <w:sz w:val="16"/>
                <w:szCs w:val="16"/>
              </w:rPr>
            </w:pPr>
            <w:r>
              <w:rPr>
                <w:rFonts w:eastAsia="SassoonPrimaryInfant"/>
                <w:sz w:val="16"/>
                <w:szCs w:val="16"/>
              </w:rPr>
              <w:t>Learn how to shop for food in French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66"/>
          </w:tcPr>
          <w:p w:rsidR="00BF22BE" w:rsidRDefault="0048412C">
            <w:pP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Scientists we will:</w:t>
            </w:r>
          </w:p>
          <w:p w:rsidR="006E56AE" w:rsidRDefault="003D4C97" w:rsidP="003D4C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sz w:val="16"/>
                <w:szCs w:val="8"/>
              </w:rPr>
            </w:pPr>
            <w:r>
              <w:rPr>
                <w:rFonts w:eastAsia="Arial"/>
                <w:sz w:val="16"/>
                <w:szCs w:val="8"/>
              </w:rPr>
              <w:t>Make simple circuits and test to see if a material is an electrical insulator or conductor</w:t>
            </w:r>
          </w:p>
          <w:p w:rsidR="003D4C97" w:rsidRDefault="003D4C97" w:rsidP="003D4C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sz w:val="16"/>
                <w:szCs w:val="8"/>
              </w:rPr>
            </w:pPr>
            <w:r>
              <w:rPr>
                <w:rFonts w:eastAsia="Arial"/>
                <w:sz w:val="16"/>
                <w:szCs w:val="8"/>
              </w:rPr>
              <w:t>Make a variety of switches</w:t>
            </w:r>
          </w:p>
          <w:p w:rsidR="003D4C97" w:rsidRPr="003D4C97" w:rsidRDefault="003D4C97" w:rsidP="003D4C9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Arial"/>
                <w:sz w:val="16"/>
                <w:szCs w:val="8"/>
              </w:rPr>
            </w:pPr>
            <w:r>
              <w:rPr>
                <w:rFonts w:eastAsia="Arial"/>
                <w:sz w:val="16"/>
                <w:szCs w:val="8"/>
              </w:rPr>
              <w:t>Apply knowledge of circuits and electricity to make an Iron Man head desk lamp (links with DT).</w:t>
            </w:r>
          </w:p>
        </w:tc>
      </w:tr>
      <w:tr w:rsidR="00BF22BE" w:rsidTr="00065B0B">
        <w:trPr>
          <w:trHeight w:val="150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Geographers we will:</w:t>
            </w:r>
          </w:p>
          <w:p w:rsidR="00BF22BE" w:rsidRDefault="003D4C97" w:rsidP="003D4C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what sustainability means</w:t>
            </w:r>
          </w:p>
          <w:p w:rsidR="003D4C97" w:rsidRDefault="003D4C97" w:rsidP="003D4C9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up an action plan to help the school become more sustainable</w:t>
            </w:r>
          </w:p>
          <w:p w:rsidR="00BF22BE" w:rsidRPr="00065B0B" w:rsidRDefault="003D4C97" w:rsidP="00065B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how wind turbines and solar panels generate electricity.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FF"/>
          </w:tcPr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Historians we will:</w:t>
            </w:r>
          </w:p>
          <w:p w:rsidR="003D4C97" w:rsidRDefault="003D4C97" w:rsidP="003D4C97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</w:p>
          <w:p w:rsidR="003D4C97" w:rsidRDefault="003D4C97" w:rsidP="003D4C9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  <w:p w:rsidR="003D4C97" w:rsidRDefault="003D4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</w:tcPr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Sportspeople we will:</w:t>
            </w:r>
          </w:p>
          <w:p w:rsidR="00DE6667" w:rsidRPr="00065B0B" w:rsidRDefault="00EF1919" w:rsidP="003D54BD">
            <w:p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In</w:t>
            </w:r>
            <w:r w:rsidR="00DE6667" w:rsidRPr="00065B0B">
              <w:rPr>
                <w:sz w:val="15"/>
                <w:szCs w:val="15"/>
              </w:rPr>
              <w:t xml:space="preserve">doors: </w:t>
            </w:r>
          </w:p>
          <w:p w:rsidR="00891A82" w:rsidRPr="00065B0B" w:rsidRDefault="003172F5" w:rsidP="003172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Copy and create actions; choose actions that relate to a theme</w:t>
            </w:r>
          </w:p>
          <w:p w:rsidR="003172F5" w:rsidRPr="00065B0B" w:rsidRDefault="003172F5" w:rsidP="003172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Develop dance using matching and mirroring</w:t>
            </w:r>
          </w:p>
          <w:p w:rsidR="003172F5" w:rsidRPr="00065B0B" w:rsidRDefault="003172F5" w:rsidP="003172F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Develop a dance phrase to use as part of a class per</w:t>
            </w:r>
            <w:r w:rsidR="00A542E2">
              <w:rPr>
                <w:sz w:val="15"/>
                <w:szCs w:val="15"/>
              </w:rPr>
              <w:t>f</w:t>
            </w:r>
            <w:r w:rsidRPr="00065B0B">
              <w:rPr>
                <w:sz w:val="15"/>
                <w:szCs w:val="15"/>
              </w:rPr>
              <w:t>ormance</w:t>
            </w:r>
          </w:p>
          <w:p w:rsidR="00DE6667" w:rsidRPr="00065B0B" w:rsidRDefault="00DE6667" w:rsidP="00DC7662">
            <w:p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Swimming</w:t>
            </w:r>
          </w:p>
          <w:p w:rsidR="00DE6667" w:rsidRPr="00065B0B" w:rsidRDefault="00DE6667" w:rsidP="00DE666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5"/>
                <w:szCs w:val="15"/>
              </w:rPr>
            </w:pPr>
            <w:r w:rsidRPr="00065B0B">
              <w:rPr>
                <w:sz w:val="15"/>
                <w:szCs w:val="15"/>
              </w:rPr>
              <w:t>Learn to swim competently and confidently over a distance of 25m</w:t>
            </w:r>
          </w:p>
          <w:p w:rsidR="00DE6667" w:rsidRPr="00DC7662" w:rsidRDefault="00DE6667" w:rsidP="00DC766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065B0B">
              <w:rPr>
                <w:sz w:val="15"/>
                <w:szCs w:val="15"/>
              </w:rPr>
              <w:t>Use a range of strokes effectively, such as front crawl and back stroke</w:t>
            </w:r>
            <w:r w:rsidR="00DC7662" w:rsidRPr="00065B0B">
              <w:rPr>
                <w:sz w:val="15"/>
                <w:szCs w:val="15"/>
              </w:rPr>
              <w:t xml:space="preserve"> and p</w:t>
            </w:r>
            <w:r w:rsidRPr="00065B0B">
              <w:rPr>
                <w:sz w:val="15"/>
                <w:szCs w:val="15"/>
              </w:rPr>
              <w:t>erform safe self-rescue techniques in different situations.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As learners of Religion we will:</w:t>
            </w:r>
          </w:p>
          <w:p w:rsidR="00CD5A1A" w:rsidRPr="00065B0B" w:rsidRDefault="00EF1919" w:rsidP="00EF19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SassoonPrimaryInfant"/>
                <w:sz w:val="14"/>
                <w:szCs w:val="8"/>
              </w:rPr>
            </w:pPr>
            <w:r w:rsidRPr="00065B0B">
              <w:rPr>
                <w:rFonts w:eastAsia="SassoonPrimaryInfant"/>
                <w:sz w:val="14"/>
                <w:szCs w:val="8"/>
              </w:rPr>
              <w:t>Learn how people express their religious and spiritual ideas on pilgrimages</w:t>
            </w:r>
          </w:p>
          <w:p w:rsidR="00EF1919" w:rsidRPr="00065B0B" w:rsidRDefault="00EF1919" w:rsidP="00EF19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SassoonPrimaryInfant"/>
                <w:sz w:val="14"/>
                <w:szCs w:val="8"/>
              </w:rPr>
            </w:pPr>
            <w:r w:rsidRPr="00065B0B">
              <w:rPr>
                <w:rFonts w:eastAsia="SassoonPrimaryInfant"/>
                <w:sz w:val="14"/>
                <w:szCs w:val="8"/>
              </w:rPr>
              <w:t>Explain what Muslims believe about pilgrimages</w:t>
            </w:r>
          </w:p>
          <w:p w:rsidR="00EF1919" w:rsidRPr="00065B0B" w:rsidRDefault="00EF1919" w:rsidP="00EF19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SassoonPrimaryInfant"/>
                <w:sz w:val="14"/>
                <w:szCs w:val="8"/>
              </w:rPr>
            </w:pPr>
            <w:r w:rsidRPr="00065B0B">
              <w:rPr>
                <w:rFonts w:eastAsia="SassoonPrimaryInfant"/>
                <w:sz w:val="14"/>
                <w:szCs w:val="8"/>
              </w:rPr>
              <w:t>Present the main events of the Hajj</w:t>
            </w:r>
          </w:p>
          <w:p w:rsidR="00EF1919" w:rsidRPr="00065B0B" w:rsidRDefault="00EF1919" w:rsidP="00EF19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SassoonPrimaryInfant"/>
                <w:sz w:val="14"/>
                <w:szCs w:val="8"/>
              </w:rPr>
            </w:pPr>
            <w:r w:rsidRPr="00065B0B">
              <w:rPr>
                <w:rFonts w:eastAsia="SassoonPrimaryInfant"/>
                <w:sz w:val="14"/>
                <w:szCs w:val="8"/>
              </w:rPr>
              <w:t>Explain what Jews believe about pilgrimages</w:t>
            </w:r>
          </w:p>
          <w:p w:rsidR="00EF1919" w:rsidRPr="00065B0B" w:rsidRDefault="00EF1919" w:rsidP="00EF191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SassoonPrimaryInfant"/>
                <w:sz w:val="14"/>
                <w:szCs w:val="8"/>
              </w:rPr>
            </w:pPr>
            <w:r w:rsidRPr="00065B0B">
              <w:rPr>
                <w:rFonts w:eastAsia="SassoonPrimaryInfant"/>
                <w:sz w:val="14"/>
                <w:szCs w:val="8"/>
              </w:rPr>
              <w:t xml:space="preserve">Explain why pilgrimages are special </w:t>
            </w:r>
          </w:p>
          <w:p w:rsidR="00CD5A1A" w:rsidRPr="00283629" w:rsidRDefault="00CD5A1A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sz w:val="8"/>
                <w:szCs w:val="8"/>
              </w:rPr>
            </w:pPr>
          </w:p>
          <w:p w:rsidR="00BF22BE" w:rsidRDefault="0048412C">
            <w:pPr>
              <w:spacing w:after="0" w:line="240" w:lineRule="auto"/>
              <w:rPr>
                <w:rFonts w:ascii="SassoonPrimaryInfant" w:eastAsia="SassoonPrimaryInfant" w:hAnsi="SassoonPrimaryInfant" w:cs="SassoonPrimaryInfant"/>
                <w:b/>
              </w:rPr>
            </w:pPr>
            <w:r>
              <w:rPr>
                <w:rFonts w:ascii="SassoonPrimaryInfant" w:eastAsia="SassoonPrimaryInfant" w:hAnsi="SassoonPrimaryInfant" w:cs="SassoonPrimaryInfant"/>
                <w:b/>
              </w:rPr>
              <w:t>In RSHE we will:</w:t>
            </w:r>
          </w:p>
          <w:p w:rsidR="003D54BD" w:rsidRPr="00CD5A1A" w:rsidRDefault="00EF1919" w:rsidP="003D54B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about keeping friendships healthy</w:t>
            </w:r>
          </w:p>
          <w:p w:rsidR="00CD5A1A" w:rsidRPr="00CD5A1A" w:rsidRDefault="00EF1919" w:rsidP="00CD5A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are friendships always fun?</w:t>
            </w:r>
          </w:p>
        </w:tc>
      </w:tr>
    </w:tbl>
    <w:p w:rsidR="00BF22BE" w:rsidRDefault="00BF22BE"/>
    <w:sectPr w:rsidR="00BF22BE" w:rsidSect="00304D5D">
      <w:headerReference w:type="default" r:id="rId10"/>
      <w:pgSz w:w="16837" w:h="11905" w:orient="landscape"/>
      <w:pgMar w:top="680" w:right="720" w:bottom="6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2A3" w:rsidRDefault="0048412C">
      <w:pPr>
        <w:spacing w:after="0" w:line="240" w:lineRule="auto"/>
      </w:pPr>
      <w:r>
        <w:separator/>
      </w:r>
    </w:p>
  </w:endnote>
  <w:endnote w:type="continuationSeparator" w:id="0">
    <w:p w:rsidR="00A862A3" w:rsidRDefault="0048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2A3" w:rsidRDefault="0048412C">
      <w:pPr>
        <w:spacing w:after="0" w:line="240" w:lineRule="auto"/>
      </w:pPr>
      <w:r>
        <w:separator/>
      </w:r>
    </w:p>
  </w:footnote>
  <w:footnote w:type="continuationSeparator" w:id="0">
    <w:p w:rsidR="00A862A3" w:rsidRDefault="0048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2BE" w:rsidRDefault="0048412C">
    <w:pPr>
      <w:rPr>
        <w:b/>
        <w:sz w:val="28"/>
        <w:szCs w:val="28"/>
      </w:rPr>
    </w:pPr>
    <w:r>
      <w:rPr>
        <w:b/>
        <w:sz w:val="28"/>
        <w:szCs w:val="28"/>
      </w:rPr>
      <w:t>Y</w:t>
    </w:r>
    <w:r w:rsidR="00B84E1B">
      <w:rPr>
        <w:b/>
        <w:sz w:val="28"/>
        <w:szCs w:val="28"/>
      </w:rPr>
      <w:t>4</w:t>
    </w:r>
    <w:r>
      <w:rPr>
        <w:b/>
        <w:sz w:val="28"/>
        <w:szCs w:val="28"/>
      </w:rPr>
      <w:t xml:space="preserve"> Springfield Primary School</w:t>
    </w:r>
  </w:p>
  <w:p w:rsidR="00BF22BE" w:rsidRDefault="00BF22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0BC"/>
    <w:multiLevelType w:val="hybridMultilevel"/>
    <w:tmpl w:val="504E188A"/>
    <w:lvl w:ilvl="0" w:tplc="B0E24B12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C45"/>
    <w:multiLevelType w:val="hybridMultilevel"/>
    <w:tmpl w:val="66507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21F40"/>
    <w:multiLevelType w:val="hybridMultilevel"/>
    <w:tmpl w:val="223CB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75EBA"/>
    <w:multiLevelType w:val="hybridMultilevel"/>
    <w:tmpl w:val="95544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66A7A"/>
    <w:multiLevelType w:val="hybridMultilevel"/>
    <w:tmpl w:val="178A6E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1D4F0D"/>
    <w:multiLevelType w:val="multilevel"/>
    <w:tmpl w:val="D4C4FE52"/>
    <w:lvl w:ilvl="0">
      <w:start w:val="1"/>
      <w:numFmt w:val="decimal"/>
      <w:pStyle w:val="bulletunder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75C1099"/>
    <w:multiLevelType w:val="hybridMultilevel"/>
    <w:tmpl w:val="F6D84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548B9"/>
    <w:multiLevelType w:val="hybridMultilevel"/>
    <w:tmpl w:val="387A2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7A32"/>
    <w:multiLevelType w:val="hybridMultilevel"/>
    <w:tmpl w:val="6A781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A05F08"/>
    <w:multiLevelType w:val="hybridMultilevel"/>
    <w:tmpl w:val="260AA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F669F1"/>
    <w:multiLevelType w:val="hybridMultilevel"/>
    <w:tmpl w:val="09FED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92B5C"/>
    <w:multiLevelType w:val="hybridMultilevel"/>
    <w:tmpl w:val="6C6E2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BA2674"/>
    <w:multiLevelType w:val="hybridMultilevel"/>
    <w:tmpl w:val="D0A49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2A6C2D"/>
    <w:multiLevelType w:val="hybridMultilevel"/>
    <w:tmpl w:val="7B120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D7B88"/>
    <w:multiLevelType w:val="hybridMultilevel"/>
    <w:tmpl w:val="BA68D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7723D"/>
    <w:multiLevelType w:val="hybridMultilevel"/>
    <w:tmpl w:val="B5A28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B064E"/>
    <w:multiLevelType w:val="hybridMultilevel"/>
    <w:tmpl w:val="14961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D0A6D"/>
    <w:multiLevelType w:val="hybridMultilevel"/>
    <w:tmpl w:val="59C42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C2322B"/>
    <w:multiLevelType w:val="hybridMultilevel"/>
    <w:tmpl w:val="A04617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D087C20"/>
    <w:multiLevelType w:val="hybridMultilevel"/>
    <w:tmpl w:val="61BE24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9"/>
  </w:num>
  <w:num w:numId="9">
    <w:abstractNumId w:val="1"/>
  </w:num>
  <w:num w:numId="10">
    <w:abstractNumId w:val="11"/>
  </w:num>
  <w:num w:numId="11">
    <w:abstractNumId w:val="6"/>
  </w:num>
  <w:num w:numId="12">
    <w:abstractNumId w:val="15"/>
  </w:num>
  <w:num w:numId="13">
    <w:abstractNumId w:val="18"/>
  </w:num>
  <w:num w:numId="14">
    <w:abstractNumId w:val="7"/>
  </w:num>
  <w:num w:numId="15">
    <w:abstractNumId w:val="10"/>
  </w:num>
  <w:num w:numId="16">
    <w:abstractNumId w:val="13"/>
  </w:num>
  <w:num w:numId="17">
    <w:abstractNumId w:val="2"/>
  </w:num>
  <w:num w:numId="18">
    <w:abstractNumId w:val="12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BE"/>
    <w:rsid w:val="00001CB3"/>
    <w:rsid w:val="00004251"/>
    <w:rsid w:val="00065B0B"/>
    <w:rsid w:val="000B21AB"/>
    <w:rsid w:val="0018070A"/>
    <w:rsid w:val="001D02C8"/>
    <w:rsid w:val="001E2CE2"/>
    <w:rsid w:val="00244F89"/>
    <w:rsid w:val="00263C39"/>
    <w:rsid w:val="00283629"/>
    <w:rsid w:val="00304D5D"/>
    <w:rsid w:val="00305BBA"/>
    <w:rsid w:val="003172F5"/>
    <w:rsid w:val="003C2E54"/>
    <w:rsid w:val="003D4C97"/>
    <w:rsid w:val="003D54BD"/>
    <w:rsid w:val="003F0A1D"/>
    <w:rsid w:val="00433D09"/>
    <w:rsid w:val="00472BBD"/>
    <w:rsid w:val="0048412C"/>
    <w:rsid w:val="00531E4F"/>
    <w:rsid w:val="0055415B"/>
    <w:rsid w:val="006E4C84"/>
    <w:rsid w:val="006E56AE"/>
    <w:rsid w:val="007B7B37"/>
    <w:rsid w:val="0082412B"/>
    <w:rsid w:val="008434A8"/>
    <w:rsid w:val="00891A82"/>
    <w:rsid w:val="009A0FEB"/>
    <w:rsid w:val="009D3FD4"/>
    <w:rsid w:val="009E3CB4"/>
    <w:rsid w:val="00A540C2"/>
    <w:rsid w:val="00A542E2"/>
    <w:rsid w:val="00A862A3"/>
    <w:rsid w:val="00B272A6"/>
    <w:rsid w:val="00B81590"/>
    <w:rsid w:val="00B84E1B"/>
    <w:rsid w:val="00BF22BE"/>
    <w:rsid w:val="00C569DF"/>
    <w:rsid w:val="00C841BB"/>
    <w:rsid w:val="00CD5A1A"/>
    <w:rsid w:val="00D404E5"/>
    <w:rsid w:val="00DA6452"/>
    <w:rsid w:val="00DC7662"/>
    <w:rsid w:val="00DE6667"/>
    <w:rsid w:val="00EF1919"/>
    <w:rsid w:val="00F54284"/>
    <w:rsid w:val="00FA49CB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A38AD-9891-40A6-BDFB-8BDC350D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3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loonTextChar">
    <w:name w:val="Balloon Text Char"/>
    <w:uiPriority w:val="99"/>
    <w:rsid w:val="0080493F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customStyle="1" w:styleId="TableContents">
    <w:name w:val="Table Contents"/>
    <w:basedOn w:val="Normal"/>
    <w:uiPriority w:val="99"/>
    <w:rsid w:val="0080493F"/>
    <w:pPr>
      <w:suppressLineNumbers/>
    </w:pPr>
  </w:style>
  <w:style w:type="paragraph" w:customStyle="1" w:styleId="TableHeading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qFormat/>
    <w:rsid w:val="004C77A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C77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ulletundertext">
    <w:name w:val="bullet (under text)"/>
    <w:rsid w:val="00024E85"/>
    <w:pPr>
      <w:numPr>
        <w:numId w:val="1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eastAsiaTheme="minorHAnsi" w:hAnsiTheme="minorHAnsi" w:cstheme="minorBidi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2Igc/0ti2xK/pkxshcIbqCmtA==">CgMxLjAyCGguZ2pkZ3hzOAByITFreXBsTzItQ09Gc0FoY1ZfNUdVMHQyamRVMDlzNm5nNw==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Pycroft</dc:creator>
  <cp:lastModifiedBy>Chris Melleney</cp:lastModifiedBy>
  <cp:revision>2</cp:revision>
  <dcterms:created xsi:type="dcterms:W3CDTF">2025-11-07T16:57:00Z</dcterms:created>
  <dcterms:modified xsi:type="dcterms:W3CDTF">2025-11-07T16:57:00Z</dcterms:modified>
</cp:coreProperties>
</file>