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Somerville Primary School Pupil premium strategy statement</w:t>
      </w:r>
    </w:p>
    <w:p w:rsidR="00000000" w:rsidDel="00000000" w:rsidP="00000000" w:rsidRDefault="00000000" w:rsidRPr="00000000" w14:paraId="00000002">
      <w:pPr>
        <w:pStyle w:val="Heading2"/>
        <w:rPr>
          <w:b w:val="0"/>
          <w:color w:val="000000"/>
          <w:sz w:val="24"/>
          <w:szCs w:val="24"/>
        </w:rPr>
      </w:pPr>
      <w:r w:rsidDel="00000000" w:rsidR="00000000" w:rsidRPr="00000000">
        <w:rPr>
          <w:b w:val="0"/>
          <w:color w:val="000000"/>
          <w:sz w:val="24"/>
          <w:szCs w:val="24"/>
          <w:rtl w:val="0"/>
        </w:rPr>
        <w:t xml:space="preserve">This statement details Somerville Primary School’s use of pupil premium funding.</w:t>
      </w:r>
    </w:p>
    <w:p w:rsidR="00000000" w:rsidDel="00000000" w:rsidP="00000000" w:rsidRDefault="00000000" w:rsidRPr="00000000" w14:paraId="00000003">
      <w:pPr>
        <w:pStyle w:val="Heading2"/>
        <w:spacing w:before="240" w:lineRule="auto"/>
        <w:rPr>
          <w:b w:val="0"/>
          <w:color w:val="000000"/>
          <w:sz w:val="24"/>
          <w:szCs w:val="24"/>
        </w:rPr>
      </w:pPr>
      <w:r w:rsidDel="00000000" w:rsidR="00000000" w:rsidRPr="00000000">
        <w:rPr>
          <w:b w:val="0"/>
          <w:color w:val="000000"/>
          <w:sz w:val="24"/>
          <w:szCs w:val="24"/>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4">
      <w:pPr>
        <w:pStyle w:val="Heading2"/>
        <w:rPr/>
      </w:pPr>
      <w:r w:rsidDel="00000000" w:rsidR="00000000" w:rsidRPr="00000000">
        <w:rPr>
          <w:rtl w:val="0"/>
        </w:rPr>
        <w:t xml:space="preserve">School overview</w:t>
      </w:r>
    </w:p>
    <w:tbl>
      <w:tblPr>
        <w:tblStyle w:val="Table1"/>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2970"/>
        <w:tblGridChange w:id="0">
          <w:tblGrid>
            <w:gridCol w:w="6516"/>
            <w:gridCol w:w="29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School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Somerville Primary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418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54%  224 children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Academic year/years that our current pupil premium strategy plan covers </w:t>
            </w:r>
            <w:r w:rsidDel="00000000" w:rsidR="00000000" w:rsidRPr="00000000">
              <w:rPr>
                <w:b w:val="1"/>
                <w:color w:val="000000"/>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2022/2023 to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2024/2025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December 2024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July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Phil Dickson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Executive 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before="60" w:line="240" w:lineRule="auto"/>
              <w:ind w:right="57"/>
              <w:rPr>
                <w:color w:val="000000"/>
              </w:rPr>
            </w:pPr>
            <w:r w:rsidDel="00000000" w:rsidR="00000000" w:rsidRPr="00000000">
              <w:rPr>
                <w:color w:val="000000"/>
                <w:rtl w:val="0"/>
              </w:rPr>
              <w:t xml:space="preserve">Phil Dickson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Governor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Gill Bain</w:t>
            </w:r>
          </w:p>
        </w:tc>
      </w:tr>
    </w:tbl>
    <w:p w:rsidR="00000000" w:rsidDel="00000000" w:rsidP="00000000" w:rsidRDefault="00000000" w:rsidRPr="00000000" w14:paraId="0000001B">
      <w:pPr>
        <w:spacing w:before="480" w:line="240" w:lineRule="auto"/>
        <w:rPr>
          <w:b w:val="1"/>
          <w:color w:val="000000"/>
          <w:sz w:val="32"/>
          <w:szCs w:val="32"/>
        </w:rPr>
      </w:pPr>
      <w:r w:rsidDel="00000000" w:rsidR="00000000" w:rsidRPr="00000000">
        <w:rPr>
          <w:b w:val="1"/>
          <w:color w:val="000000"/>
          <w:sz w:val="32"/>
          <w:szCs w:val="32"/>
          <w:rtl w:val="0"/>
        </w:rPr>
        <w:t xml:space="preserve">Funding overview</w:t>
      </w:r>
    </w:p>
    <w:tbl>
      <w:tblPr>
        <w:tblStyle w:val="Table2"/>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b w:val="1"/>
                <w:color w:val="000000"/>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b w:val="1"/>
                <w:color w:val="000000"/>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£362,300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Pupil premium funding carried forward from previous years (enter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60" w:before="60" w:line="240" w:lineRule="auto"/>
              <w:ind w:left="57" w:right="57" w:firstLine="0"/>
              <w:rPr>
                <w:b w:val="1"/>
                <w:color w:val="000000"/>
              </w:rPr>
            </w:pPr>
            <w:r w:rsidDel="00000000" w:rsidR="00000000" w:rsidRPr="00000000">
              <w:rPr>
                <w:b w:val="1"/>
                <w:color w:val="000000"/>
                <w:rtl w:val="0"/>
              </w:rPr>
              <w:t xml:space="preserve">Total budget for this academic year</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£362,300</w:t>
            </w:r>
          </w:p>
        </w:tc>
      </w:tr>
    </w:tbl>
    <w:p w:rsidR="00000000" w:rsidDel="00000000" w:rsidP="00000000" w:rsidRDefault="00000000" w:rsidRPr="00000000" w14:paraId="00000025">
      <w:pPr>
        <w:pStyle w:val="Heading1"/>
        <w:rPr/>
      </w:pPr>
      <w:r w:rsidDel="00000000" w:rsidR="00000000" w:rsidRPr="00000000">
        <w:rPr>
          <w:rtl w:val="0"/>
        </w:rPr>
        <w:t xml:space="preserve">Part A: Pupil premium strategy plan</w:t>
      </w:r>
    </w:p>
    <w:p w:rsidR="00000000" w:rsidDel="00000000" w:rsidP="00000000" w:rsidRDefault="00000000" w:rsidRPr="00000000" w14:paraId="00000026">
      <w:pPr>
        <w:pStyle w:val="Heading2"/>
        <w:rPr/>
      </w:pPr>
      <w:bookmarkStart w:colFirst="0" w:colLast="0" w:name="_heading=h.30j0zll" w:id="1"/>
      <w:bookmarkEnd w:id="1"/>
      <w:r w:rsidDel="00000000" w:rsidR="00000000" w:rsidRPr="00000000">
        <w:rPr>
          <w:rtl w:val="0"/>
        </w:rPr>
        <w:t xml:space="preserve">Statement of intent</w:t>
      </w:r>
    </w:p>
    <w:tbl>
      <w:tblPr>
        <w:tblStyle w:val="Table3"/>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spacing w:before="120" w:lineRule="auto"/>
              <w:rPr>
                <w:color w:val="000000"/>
              </w:rPr>
            </w:pPr>
            <w:r w:rsidDel="00000000" w:rsidR="00000000" w:rsidRPr="00000000">
              <w:rPr>
                <w:color w:val="000000"/>
                <w:rtl w:val="0"/>
              </w:rPr>
              <w:t xml:space="preserve">Somerville Governing body intends that all pupils make good progress and achieve high attainment across all subjects. Due to the relatively high number of pupil premium children who attend Somerville Primary School we do not discriminate on which children from our community should benefit from this additional funding as all of our children face challenges pertinent to them as individuals. </w:t>
            </w:r>
          </w:p>
          <w:p w:rsidR="00000000" w:rsidDel="00000000" w:rsidP="00000000" w:rsidRDefault="00000000" w:rsidRPr="00000000" w14:paraId="00000028">
            <w:pPr>
              <w:spacing w:before="120" w:lineRule="auto"/>
              <w:rPr>
                <w:color w:val="000000"/>
              </w:rPr>
            </w:pPr>
            <w:r w:rsidDel="00000000" w:rsidR="00000000" w:rsidRPr="00000000">
              <w:rPr>
                <w:color w:val="000000"/>
                <w:rtl w:val="0"/>
              </w:rPr>
              <w:t xml:space="preserve">The actions outlined in our pupil premium statement are intended to support all children, regardless of whether they are disadvantaged or not.</w:t>
            </w:r>
          </w:p>
          <w:p w:rsidR="00000000" w:rsidDel="00000000" w:rsidP="00000000" w:rsidRDefault="00000000" w:rsidRPr="00000000" w14:paraId="00000029">
            <w:pPr>
              <w:rPr>
                <w:color w:val="000000"/>
              </w:rPr>
            </w:pPr>
            <w:r w:rsidDel="00000000" w:rsidR="00000000" w:rsidRPr="00000000">
              <w:rPr>
                <w:color w:val="000000"/>
                <w:rtl w:val="0"/>
              </w:rPr>
              <w:t xml:space="preserve">High-quality teaching is at the heart of everything we do at Somerville Federation, with a focus on those children who need the most support. Our priority as a governing body is our relentless ambition to ensure that all children’s attainment will be sustained and improved to bring their attainment in line with their peers nationally.</w:t>
            </w:r>
          </w:p>
          <w:p w:rsidR="00000000" w:rsidDel="00000000" w:rsidP="00000000" w:rsidRDefault="00000000" w:rsidRPr="00000000" w14:paraId="0000002A">
            <w:pPr>
              <w:spacing w:after="120" w:lineRule="auto"/>
              <w:rPr>
                <w:color w:val="000000"/>
              </w:rPr>
            </w:pPr>
            <w:r w:rsidDel="00000000" w:rsidR="00000000" w:rsidRPr="00000000">
              <w:rPr>
                <w:color w:val="000000"/>
                <w:rtl w:val="0"/>
              </w:rPr>
              <w:t xml:space="preserve">Our approach is strategic to ensure that our plans have been well thought out and align with the needs of our children and the challenges that our community has faced for decades.</w:t>
            </w:r>
          </w:p>
          <w:p w:rsidR="00000000" w:rsidDel="00000000" w:rsidP="00000000" w:rsidRDefault="00000000" w:rsidRPr="00000000" w14:paraId="0000002B">
            <w:pPr>
              <w:numPr>
                <w:ilvl w:val="0"/>
                <w:numId w:val="5"/>
              </w:numPr>
              <w:spacing w:after="0" w:lineRule="auto"/>
              <w:ind w:left="720" w:hanging="360"/>
              <w:rPr/>
            </w:pPr>
            <w:r w:rsidDel="00000000" w:rsidR="00000000" w:rsidRPr="00000000">
              <w:rPr>
                <w:color w:val="000000"/>
                <w:rtl w:val="0"/>
              </w:rPr>
              <w:t xml:space="preserve">Ensure that all of our children and particularly are disadvantaged children attend school as often as their national peers.</w:t>
            </w:r>
          </w:p>
          <w:p w:rsidR="00000000" w:rsidDel="00000000" w:rsidP="00000000" w:rsidRDefault="00000000" w:rsidRPr="00000000" w14:paraId="0000002C">
            <w:pPr>
              <w:numPr>
                <w:ilvl w:val="0"/>
                <w:numId w:val="5"/>
              </w:numPr>
              <w:spacing w:after="0" w:lineRule="auto"/>
              <w:ind w:left="720" w:hanging="360"/>
              <w:rPr/>
            </w:pPr>
            <w:r w:rsidDel="00000000" w:rsidR="00000000" w:rsidRPr="00000000">
              <w:rPr>
                <w:color w:val="000000"/>
                <w:rtl w:val="0"/>
              </w:rPr>
              <w:t xml:space="preserve">Ensure that are children are set appropriate work which will challenge them and help them to aspire in their next stage of their learning journey. </w:t>
            </w:r>
          </w:p>
          <w:p w:rsidR="00000000" w:rsidDel="00000000" w:rsidP="00000000" w:rsidRDefault="00000000" w:rsidRPr="00000000" w14:paraId="0000002D">
            <w:pPr>
              <w:numPr>
                <w:ilvl w:val="0"/>
                <w:numId w:val="5"/>
              </w:numPr>
              <w:spacing w:after="0" w:lineRule="auto"/>
              <w:ind w:left="720" w:hanging="360"/>
              <w:rPr/>
            </w:pPr>
            <w:r w:rsidDel="00000000" w:rsidR="00000000" w:rsidRPr="00000000">
              <w:rPr>
                <w:color w:val="000000"/>
                <w:rtl w:val="0"/>
              </w:rPr>
              <w:t xml:space="preserve">Ensure that our children have their mental wellbeing supported and learn strategies to support them later in life. </w:t>
            </w:r>
          </w:p>
          <w:p w:rsidR="00000000" w:rsidDel="00000000" w:rsidP="00000000" w:rsidRDefault="00000000" w:rsidRPr="00000000" w14:paraId="0000002E">
            <w:pPr>
              <w:numPr>
                <w:ilvl w:val="0"/>
                <w:numId w:val="5"/>
              </w:numPr>
              <w:spacing w:after="0" w:lineRule="auto"/>
              <w:ind w:left="720" w:hanging="360"/>
              <w:rPr/>
            </w:pPr>
            <w:r w:rsidDel="00000000" w:rsidR="00000000" w:rsidRPr="00000000">
              <w:rPr>
                <w:color w:val="000000"/>
                <w:rtl w:val="0"/>
              </w:rPr>
              <w:t xml:space="preserve">Ensure all staff have the same vision to enable our children to have opportunities that they otherwise would not have had.</w:t>
            </w:r>
          </w:p>
          <w:p w:rsidR="00000000" w:rsidDel="00000000" w:rsidP="00000000" w:rsidRDefault="00000000" w:rsidRPr="00000000" w14:paraId="0000002F">
            <w:pPr>
              <w:numPr>
                <w:ilvl w:val="0"/>
                <w:numId w:val="5"/>
              </w:numPr>
              <w:ind w:left="720" w:hanging="360"/>
              <w:rPr/>
            </w:pPr>
            <w:r w:rsidDel="00000000" w:rsidR="00000000" w:rsidRPr="00000000">
              <w:rPr>
                <w:color w:val="000000"/>
                <w:rtl w:val="0"/>
              </w:rPr>
              <w:t xml:space="preserve">To open our children’s eyes to the wonderful world of possibility.</w:t>
            </w:r>
          </w:p>
        </w:tc>
      </w:tr>
    </w:tbl>
    <w:p w:rsidR="00000000" w:rsidDel="00000000" w:rsidP="00000000" w:rsidRDefault="00000000" w:rsidRPr="00000000" w14:paraId="00000030">
      <w:pPr>
        <w:pStyle w:val="Heading2"/>
        <w:spacing w:before="60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35">
      <w:pPr>
        <w:spacing w:before="120" w:line="240" w:lineRule="auto"/>
        <w:rPr/>
      </w:pPr>
      <w:r w:rsidDel="00000000" w:rsidR="00000000" w:rsidRPr="00000000">
        <w:rPr>
          <w:color w:val="000000"/>
          <w:rtl w:val="0"/>
        </w:rPr>
        <w:t xml:space="preserve">This details the key challenges to achievement that we have identified among our disadvantaged pupils.</w:t>
      </w:r>
      <w:r w:rsidDel="00000000" w:rsidR="00000000" w:rsidRPr="00000000">
        <w:rPr>
          <w:rtl w:val="0"/>
        </w:rPr>
      </w:r>
    </w:p>
    <w:tbl>
      <w:tblPr>
        <w:tblStyle w:val="Table4"/>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1"/>
        <w:gridCol w:w="7975"/>
        <w:tblGridChange w:id="0">
          <w:tblGrid>
            <w:gridCol w:w="1511"/>
            <w:gridCol w:w="79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60" w:before="60" w:line="240" w:lineRule="auto"/>
              <w:ind w:left="57" w:right="57" w:firstLine="0"/>
              <w:rPr>
                <w:sz w:val="22"/>
                <w:szCs w:val="22"/>
              </w:rPr>
            </w:pPr>
            <w:r w:rsidDel="00000000" w:rsidR="00000000" w:rsidRPr="00000000">
              <w:rPr>
                <w:color w:val="000000"/>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spacing w:after="120" w:before="60" w:line="240" w:lineRule="auto"/>
              <w:ind w:left="57" w:right="57" w:firstLine="0"/>
              <w:rPr>
                <w:color w:val="000000"/>
              </w:rPr>
            </w:pPr>
            <w:r w:rsidDel="00000000" w:rsidR="00000000" w:rsidRPr="00000000">
              <w:rPr>
                <w:color w:val="000000"/>
                <w:rtl w:val="0"/>
              </w:rPr>
              <w:t xml:space="preserve">Our attendance data over the last 3 years indicates that attendance among disadvantaged pupils has been between 90% and 93% - 2 to 3% lower than for non-disadvantaged pupils.</w:t>
            </w:r>
          </w:p>
          <w:p w:rsidR="00000000" w:rsidDel="00000000" w:rsidP="00000000" w:rsidRDefault="00000000" w:rsidRPr="00000000" w14:paraId="0000003A">
            <w:pPr>
              <w:spacing w:after="120" w:before="60" w:line="240" w:lineRule="auto"/>
              <w:ind w:left="57" w:right="57" w:firstLine="0"/>
              <w:rPr>
                <w:color w:val="000000"/>
              </w:rPr>
            </w:pPr>
            <w:bookmarkStart w:colFirst="0" w:colLast="0" w:name="_heading=h.2et92p0" w:id="2"/>
            <w:bookmarkEnd w:id="2"/>
            <w:r w:rsidDel="00000000" w:rsidR="00000000" w:rsidRPr="00000000">
              <w:rPr>
                <w:color w:val="000000"/>
                <w:rtl w:val="0"/>
              </w:rPr>
              <w:t xml:space="preserve">35 % of disadvantaged pupils have been ‘persistently absent’ compared to 18% of their peers during that period. Our assessments and observations indicate that absenteeism is negatively impacting disadvantaged pupils’ progress.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spacing w:after="120" w:before="60" w:line="240" w:lineRule="auto"/>
              <w:ind w:left="57" w:right="57" w:firstLine="0"/>
              <w:rPr>
                <w:color w:val="000000"/>
              </w:rPr>
            </w:pPr>
            <w:r w:rsidDel="00000000" w:rsidR="00000000" w:rsidRPr="00000000">
              <w:rPr>
                <w:color w:val="000000"/>
                <w:rtl w:val="0"/>
              </w:rPr>
              <w:t xml:space="preserve">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spacing w:after="120" w:before="60" w:line="240" w:lineRule="auto"/>
              <w:ind w:left="57" w:right="57" w:firstLine="0"/>
              <w:rPr>
                <w:color w:val="000000"/>
              </w:rPr>
            </w:pPr>
            <w:r w:rsidDel="00000000" w:rsidR="00000000" w:rsidRPr="00000000">
              <w:rPr>
                <w:color w:val="000000"/>
                <w:rtl w:val="0"/>
              </w:rPr>
              <w:t xml:space="preserve">Auditing of children’s reading, assessments and pupil voice clearly shows that opportunities for reading development at home are missed by a large majority of children especially those who are disadvantaged. As a consequence reading attainment across the year groups is below national peers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spacing w:after="120" w:before="60" w:line="240" w:lineRule="auto"/>
              <w:ind w:left="57" w:right="57" w:firstLine="0"/>
              <w:rPr>
                <w:color w:val="000000"/>
              </w:rPr>
            </w:pPr>
            <w:r w:rsidDel="00000000" w:rsidR="00000000" w:rsidRPr="00000000">
              <w:rPr>
                <w:color w:val="000000"/>
                <w:rtl w:val="0"/>
              </w:rPr>
              <w:t xml:space="preserve">Assessments, observations, and discussions with pupils suggest disadvantaged pupils generally have greater difficulties with phonics than their peers. This negatively impacts their development as readers.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spacing w:after="120" w:before="60" w:line="240" w:lineRule="auto"/>
              <w:ind w:left="57" w:right="57" w:firstLine="0"/>
              <w:rPr>
                <w:color w:val="000000"/>
              </w:rPr>
            </w:pPr>
            <w:r w:rsidDel="00000000" w:rsidR="00000000" w:rsidRPr="00000000">
              <w:rPr>
                <w:color w:val="000000"/>
                <w:rtl w:val="0"/>
              </w:rPr>
              <w:t xml:space="preserve">Audits from parents and staff, including conversations with professionals and discussions with pupils suggest that disadvantaged children have difficulties with strategies to support their own mental health, wellbeing and self-regulation.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60" w:before="60" w:line="240" w:lineRule="auto"/>
              <w:ind w:right="57"/>
              <w:rPr>
                <w:color w:val="000000"/>
                <w:sz w:val="22"/>
                <w:szCs w:val="22"/>
              </w:rPr>
            </w:pPr>
            <w:r w:rsidDel="00000000" w:rsidR="00000000" w:rsidRPr="00000000">
              <w:rPr>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4">
            <w:pPr>
              <w:spacing w:after="120" w:before="60" w:line="240" w:lineRule="auto"/>
              <w:ind w:left="57" w:right="57" w:firstLine="0"/>
              <w:rPr>
                <w:color w:val="000000"/>
              </w:rPr>
            </w:pPr>
            <w:r w:rsidDel="00000000" w:rsidR="00000000" w:rsidRPr="00000000">
              <w:rPr>
                <w:color w:val="000000"/>
                <w:rtl w:val="0"/>
              </w:rPr>
              <w:t xml:space="preserve">As a consequence of the local demographic, a higher number of children including those who are disadvantaged have experienced domestic violence in their family home and social care involvement from Wirral Social care is reportedly high amongst the families from Somerville.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60" w:before="60" w:line="240" w:lineRule="auto"/>
              <w:ind w:right="57"/>
              <w:rPr>
                <w:sz w:val="22"/>
                <w:szCs w:val="22"/>
              </w:rPr>
            </w:pPr>
            <w:r w:rsidDel="00000000" w:rsidR="00000000" w:rsidRPr="00000000">
              <w:rPr>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spacing w:after="120" w:before="60" w:line="240" w:lineRule="auto"/>
              <w:ind w:left="57" w:right="57" w:firstLine="0"/>
              <w:rPr>
                <w:color w:val="000000"/>
              </w:rPr>
            </w:pPr>
            <w:r w:rsidDel="00000000" w:rsidR="00000000" w:rsidRPr="00000000">
              <w:rPr>
                <w:color w:val="000000"/>
                <w:rtl w:val="0"/>
              </w:rPr>
              <w:t xml:space="preserve">Our assessments and observations indicate that the education and wellbeing of many of our disadvantaged pupils have been impacted by partial school closures to a greater extent than for other pupils. These findings are supported by national studies. </w:t>
            </w:r>
          </w:p>
          <w:p w:rsidR="00000000" w:rsidDel="00000000" w:rsidP="00000000" w:rsidRDefault="00000000" w:rsidRPr="00000000" w14:paraId="00000047">
            <w:pPr>
              <w:spacing w:after="120" w:before="60" w:line="240" w:lineRule="auto"/>
              <w:ind w:left="57" w:right="57" w:firstLine="0"/>
              <w:rPr>
                <w:color w:val="000000"/>
              </w:rPr>
            </w:pPr>
            <w:r w:rsidDel="00000000" w:rsidR="00000000" w:rsidRPr="00000000">
              <w:rPr>
                <w:color w:val="000000"/>
                <w:rtl w:val="0"/>
              </w:rPr>
              <w:t xml:space="preserve">This has resulted in significant knowledge gaps leading to pupils falling further behind age-related expectations.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60" w:before="60" w:line="240" w:lineRule="auto"/>
              <w:ind w:left="57" w:right="57" w:firstLine="0"/>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before="60" w:line="240" w:lineRule="auto"/>
              <w:ind w:left="57" w:right="57" w:firstLine="0"/>
              <w:rPr>
                <w:color w:val="000000"/>
              </w:rPr>
            </w:pPr>
            <w:r w:rsidDel="00000000" w:rsidR="00000000" w:rsidRPr="00000000">
              <w:rPr>
                <w:color w:val="000000"/>
                <w:rtl w:val="0"/>
              </w:rPr>
              <w:t xml:space="preserve">As a consequence of limited provision from childcare providers due to a lack of attendance and therefore paperwork to support the SEN referral process opportunities to apply for support or specialist provision for children has been missed. Therefore a number of children have arrived into Reception class without specialist support or provision.</w:t>
            </w:r>
          </w:p>
        </w:tc>
      </w:tr>
    </w:tbl>
    <w:p w:rsidR="00000000" w:rsidDel="00000000" w:rsidP="00000000" w:rsidRDefault="00000000" w:rsidRPr="00000000" w14:paraId="0000004A">
      <w:pPr>
        <w:pStyle w:val="Heading2"/>
        <w:spacing w:before="600" w:lineRule="auto"/>
        <w:rPr/>
      </w:pPr>
      <w:bookmarkStart w:colFirst="0" w:colLast="0" w:name="_heading=h.1fob9te" w:id="3"/>
      <w:bookmarkEnd w:id="3"/>
      <w:r w:rsidDel="00000000" w:rsidR="00000000" w:rsidRPr="00000000">
        <w:rPr>
          <w:rtl w:val="0"/>
        </w:rPr>
        <w:t xml:space="preserve">Intended outcomes </w:t>
      </w:r>
    </w:p>
    <w:p w:rsidR="00000000" w:rsidDel="00000000" w:rsidP="00000000" w:rsidRDefault="00000000" w:rsidRPr="00000000" w14:paraId="0000004B">
      <w:pPr>
        <w:rPr/>
      </w:pPr>
      <w:r w:rsidDel="00000000" w:rsidR="00000000" w:rsidRPr="00000000">
        <w:rPr>
          <w:color w:val="000000"/>
          <w:rtl w:val="0"/>
        </w:rPr>
        <w:t xml:space="preserve">This explains the outcomes we are aiming for </w:t>
      </w:r>
      <w:r w:rsidDel="00000000" w:rsidR="00000000" w:rsidRPr="00000000">
        <w:rPr>
          <w:b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6627"/>
        <w:tblGridChange w:id="0">
          <w:tblGrid>
            <w:gridCol w:w="2859"/>
            <w:gridCol w:w="66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To achieve and sustain improved attendance for all pupils, particularly our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60" w:before="60" w:line="240" w:lineRule="auto"/>
              <w:ind w:left="57" w:right="57" w:firstLine="0"/>
              <w:rPr>
                <w:color w:val="000000"/>
              </w:rPr>
            </w:pPr>
            <w:r w:rsidDel="00000000" w:rsidR="00000000" w:rsidRPr="00000000">
              <w:rPr>
                <w:color w:val="000000"/>
                <w:rtl w:val="0"/>
              </w:rPr>
              <w:t xml:space="preserve">Sustained high attendance from end of 2024/25 academic year demonstrated by:</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60" w:before="60" w:line="240" w:lineRule="auto"/>
              <w:ind w:left="417" w:right="57" w:hanging="360"/>
              <w:rPr>
                <w:color w:val="000000"/>
              </w:rPr>
            </w:pPr>
            <w:r w:rsidDel="00000000" w:rsidR="00000000" w:rsidRPr="00000000">
              <w:rPr>
                <w:color w:val="000000"/>
                <w:rtl w:val="0"/>
              </w:rPr>
              <w:t xml:space="preserve">the overall absence rate for all pupils being in line with local and national averages, and the attendance gap between disadvantaged pupils and their non-disadvantaged peers being reduced in line with local and national averages</w:t>
            </w:r>
          </w:p>
          <w:p w:rsidR="00000000" w:rsidDel="00000000" w:rsidP="00000000" w:rsidRDefault="00000000" w:rsidRPr="00000000" w14:paraId="00000051">
            <w:pPr>
              <w:spacing w:after="120" w:before="60" w:line="240" w:lineRule="auto"/>
              <w:ind w:left="57" w:right="57" w:firstLine="0"/>
              <w:rPr>
                <w:color w:val="000000"/>
              </w:rPr>
            </w:pPr>
            <w:r w:rsidDel="00000000" w:rsidR="00000000" w:rsidRPr="00000000">
              <w:rPr>
                <w:color w:val="000000"/>
                <w:rtl w:val="0"/>
              </w:rPr>
              <w:t xml:space="preserve">the percentage of all pupils and disadvantaged pupils who are persistently absent being in line with local and national averages.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Improved oral language skills and vocabulary among disadvantaged pupils.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spacing w:after="120" w:before="60" w:line="240" w:lineRule="auto"/>
              <w:ind w:left="57" w:right="57" w:firstLine="0"/>
              <w:rPr>
                <w:color w:val="000000"/>
              </w:rPr>
            </w:pPr>
            <w:r w:rsidDel="00000000" w:rsidR="00000000" w:rsidRPr="00000000">
              <w:rPr>
                <w:color w:val="000000"/>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60" w:line="240" w:lineRule="auto"/>
              <w:ind w:left="29" w:right="57" w:firstLine="0"/>
              <w:rPr>
                <w:color w:val="000000"/>
              </w:rPr>
            </w:pPr>
            <w:r w:rsidDel="00000000" w:rsidR="00000000" w:rsidRPr="00000000">
              <w:rPr>
                <w:color w:val="000000"/>
                <w:rtl w:val="0"/>
              </w:rPr>
              <w:t xml:space="preserve">Improved reading attainment among disadvantaged pupils.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KS2 reading outcomes in 2025 show that of disadvantaged pupils met the expected standard in line with national averages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60" w:line="240" w:lineRule="auto"/>
              <w:ind w:left="28" w:right="57" w:firstLine="0"/>
              <w:rPr>
                <w:color w:val="000000"/>
              </w:rPr>
            </w:pPr>
            <w:r w:rsidDel="00000000" w:rsidR="00000000" w:rsidRPr="00000000">
              <w:rPr>
                <w:color w:val="000000"/>
                <w:rtl w:val="0"/>
              </w:rPr>
              <w:t xml:space="preserve">Improved writing and maths attainment for disadvantaged pupils at the end of KS2.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KS2 writing and maths outcomes in 2025 show that of disadvantaged pupils met the expected standard in line with national averages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60" w:line="240" w:lineRule="auto"/>
              <w:ind w:left="0" w:right="57" w:firstLine="0"/>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60" w:before="60" w:line="240" w:lineRule="auto"/>
              <w:ind w:right="57"/>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spacing w:before="60" w:line="240" w:lineRule="auto"/>
              <w:ind w:left="29" w:firstLine="0"/>
              <w:rPr>
                <w:color w:val="000000"/>
              </w:rPr>
            </w:pPr>
            <w:r w:rsidDel="00000000" w:rsidR="00000000" w:rsidRPr="00000000">
              <w:rPr>
                <w:color w:val="000000"/>
                <w:rtl w:val="0"/>
              </w:rPr>
              <w:t xml:space="preserve">To achieve and sustain improved wellbeing for all pupils in our school, particularly our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spacing w:after="60" w:before="60" w:line="240" w:lineRule="auto"/>
              <w:ind w:left="34" w:right="57" w:firstLine="0"/>
              <w:rPr>
                <w:color w:val="000000"/>
              </w:rPr>
            </w:pPr>
            <w:r w:rsidDel="00000000" w:rsidR="00000000" w:rsidRPr="00000000">
              <w:rPr>
                <w:color w:val="000000"/>
                <w:rtl w:val="0"/>
              </w:rPr>
              <w:t xml:space="preserve">Sustained high levels of wellbeing from 2025 demonstrated by:</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100% of children able to self regulate using taught strategies. Or use a variety of other strategies to overcome issues with regard to attendance, attention, engagement.</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qualitative data from pupil voice, pupil and parent surveys and teacher observations.</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a significant reduction in those children needing to access the beehive on a daily basis.</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a significant increase in participation in enrichment activities, particularly among disadvantaged pupils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60" w:before="60" w:line="240" w:lineRule="auto"/>
              <w:ind w:left="29" w:right="57" w:firstLine="0"/>
              <w:rPr>
                <w:color w:val="000000"/>
              </w:rPr>
            </w:pPr>
            <w:r w:rsidDel="00000000" w:rsidR="00000000" w:rsidRPr="00000000">
              <w:rPr>
                <w:color w:val="000000"/>
                <w:rtl w:val="0"/>
              </w:rPr>
              <w:t xml:space="preserve">To continue to fully support those children and their families engaged with social care.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spacing w:after="120" w:before="60" w:line="240" w:lineRule="auto"/>
              <w:ind w:right="57"/>
              <w:rPr>
                <w:color w:val="000000"/>
              </w:rPr>
            </w:pPr>
            <w:r w:rsidDel="00000000" w:rsidR="00000000" w:rsidRPr="00000000">
              <w:rPr>
                <w:color w:val="000000"/>
                <w:rtl w:val="0"/>
              </w:rPr>
              <w:t xml:space="preserve">A response plan to support each respective family with bespoke support to meet the child’s and families needs dependent on their issues though the provision of:</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before="60" w:line="240" w:lineRule="auto"/>
              <w:ind w:left="720" w:right="57" w:hanging="360"/>
              <w:rPr>
                <w:color w:val="000000"/>
              </w:rPr>
            </w:pPr>
            <w:r w:rsidDel="00000000" w:rsidR="00000000" w:rsidRPr="00000000">
              <w:rPr>
                <w:color w:val="000000"/>
                <w:rtl w:val="0"/>
              </w:rPr>
              <w:t xml:space="preserve">Signposting to resources.</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right="57" w:hanging="360"/>
              <w:rPr>
                <w:color w:val="000000"/>
              </w:rPr>
            </w:pPr>
            <w:r w:rsidDel="00000000" w:rsidR="00000000" w:rsidRPr="00000000">
              <w:rPr>
                <w:color w:val="000000"/>
                <w:rtl w:val="0"/>
              </w:rPr>
              <w:t xml:space="preserve">Social care involvement</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right="57" w:hanging="360"/>
              <w:rPr>
                <w:color w:val="000000"/>
              </w:rPr>
            </w:pPr>
            <w:r w:rsidDel="00000000" w:rsidR="00000000" w:rsidRPr="00000000">
              <w:rPr>
                <w:color w:val="000000"/>
                <w:rtl w:val="0"/>
              </w:rPr>
              <w:t xml:space="preserve">Appropriate support through child in need or child protection plans</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right="57" w:hanging="360"/>
              <w:rPr>
                <w:color w:val="000000"/>
              </w:rPr>
            </w:pPr>
            <w:r w:rsidDel="00000000" w:rsidR="00000000" w:rsidRPr="00000000">
              <w:rPr>
                <w:color w:val="000000"/>
                <w:rtl w:val="0"/>
              </w:rPr>
              <w:t xml:space="preserve">Family support worker provision.</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120" w:line="240" w:lineRule="auto"/>
              <w:ind w:left="720" w:right="57" w:hanging="360"/>
              <w:rPr>
                <w:color w:val="000000"/>
              </w:rPr>
            </w:pPr>
            <w:r w:rsidDel="00000000" w:rsidR="00000000" w:rsidRPr="00000000">
              <w:rPr>
                <w:color w:val="000000"/>
                <w:rtl w:val="0"/>
              </w:rPr>
              <w:t xml:space="preserve">Essential items bank for immediately supporting families.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60" w:before="60" w:line="240" w:lineRule="auto"/>
              <w:ind w:left="29" w:right="57" w:firstLine="0"/>
              <w:rPr>
                <w:color w:val="000000"/>
              </w:rPr>
            </w:pPr>
            <w:r w:rsidDel="00000000" w:rsidR="00000000" w:rsidRPr="00000000">
              <w:rPr>
                <w:color w:val="000000"/>
                <w:rtl w:val="0"/>
              </w:rPr>
              <w:t xml:space="preserve">To have identified, referred and provided additional support for the needs of children with SEND.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60" w:line="240" w:lineRule="auto"/>
              <w:ind w:left="414" w:right="57" w:hanging="360"/>
              <w:rPr>
                <w:color w:val="000000"/>
              </w:rPr>
            </w:pPr>
            <w:r w:rsidDel="00000000" w:rsidR="00000000" w:rsidRPr="00000000">
              <w:rPr>
                <w:color w:val="000000"/>
                <w:rtl w:val="0"/>
              </w:rPr>
              <w:t xml:space="preserve">All children with additional needs and SEND have a personalised plan for intervention which is assessed and evaluated regularly, demonstrating progress is being made for each individual.</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60" w:line="240" w:lineRule="auto"/>
              <w:ind w:left="414" w:right="57" w:hanging="360"/>
              <w:rPr>
                <w:color w:val="000000"/>
              </w:rPr>
            </w:pPr>
            <w:r w:rsidDel="00000000" w:rsidR="00000000" w:rsidRPr="00000000">
              <w:rPr>
                <w:color w:val="000000"/>
                <w:rtl w:val="0"/>
              </w:rPr>
              <w:t xml:space="preserve">For those children who require additional support outside of element 2 funding to have access to additional support, a prescriptive plan to support progress and/or access to specialist provision.</w:t>
            </w:r>
          </w:p>
        </w:tc>
      </w:tr>
    </w:tbl>
    <w:p w:rsidR="00000000" w:rsidDel="00000000" w:rsidP="00000000" w:rsidRDefault="00000000" w:rsidRPr="00000000" w14:paraId="0000006A">
      <w:pPr>
        <w:spacing w:after="0" w:line="240" w:lineRule="auto"/>
        <w:rPr>
          <w:b w:val="1"/>
          <w:color w:val="104f7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Activity in this academic year</w:t>
      </w:r>
    </w:p>
    <w:p w:rsidR="00000000" w:rsidDel="00000000" w:rsidP="00000000" w:rsidRDefault="00000000" w:rsidRPr="00000000" w14:paraId="0000006C">
      <w:pPr>
        <w:spacing w:after="480" w:lineRule="auto"/>
        <w:rPr/>
      </w:pPr>
      <w:r w:rsidDel="00000000" w:rsidR="00000000" w:rsidRPr="00000000">
        <w:rPr>
          <w:rtl w:val="0"/>
        </w:rPr>
        <w:t xml:space="preserve">This details how we intend to spend our pupil premium (and recovery premium funding) </w:t>
      </w:r>
      <w:r w:rsidDel="00000000" w:rsidR="00000000" w:rsidRPr="00000000">
        <w:rPr>
          <w:b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6D">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6E">
      <w:pPr>
        <w:rPr>
          <w:color w:val="0070c0"/>
        </w:rPr>
      </w:pPr>
      <w:r w:rsidDel="00000000" w:rsidR="00000000" w:rsidRPr="00000000">
        <w:rPr>
          <w:rtl w:val="0"/>
        </w:rPr>
        <w:t xml:space="preserve">Budgeted cost: </w:t>
      </w:r>
      <w:r w:rsidDel="00000000" w:rsidR="00000000" w:rsidRPr="00000000">
        <w:rPr>
          <w:b w:val="1"/>
          <w:color w:val="000000"/>
          <w:rtl w:val="0"/>
        </w:rPr>
        <w:t xml:space="preserve">£46,000</w:t>
      </w:r>
      <w:r w:rsidDel="00000000" w:rsidR="00000000" w:rsidRPr="00000000">
        <w:rPr>
          <w:rtl w:val="0"/>
        </w:rPr>
      </w:r>
    </w:p>
    <w:tbl>
      <w:tblPr>
        <w:tblStyle w:val="Table6"/>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4536"/>
        <w:gridCol w:w="1553"/>
        <w:tblGridChange w:id="0">
          <w:tblGrid>
            <w:gridCol w:w="3397"/>
            <w:gridCol w:w="4536"/>
            <w:gridCol w:w="15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60" w:line="240" w:lineRule="auto"/>
              <w:ind w:left="29" w:right="57" w:firstLine="0"/>
              <w:rPr>
                <w:color w:val="000000"/>
                <w:highlight w:val="white"/>
              </w:rPr>
            </w:pPr>
            <w:r w:rsidDel="00000000" w:rsidR="00000000" w:rsidRPr="00000000">
              <w:rPr>
                <w:color w:val="000000"/>
                <w:rtl w:val="0"/>
              </w:rPr>
              <w:t xml:space="preserve">Purchase of standardised diagnostic assessments and NVR tests.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Standardised tests can provide reliable insights into the specific strengths and weaknesses of each pupil to help ensure they receive the correct additional support through interventions or teacher instruction:</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60" w:line="240" w:lineRule="auto"/>
              <w:ind w:left="57" w:right="57" w:firstLine="0"/>
              <w:rPr>
                <w:color w:val="000000"/>
              </w:rPr>
            </w:pPr>
            <w:hyperlink r:id="rId7">
              <w:r w:rsidDel="00000000" w:rsidR="00000000" w:rsidRPr="00000000">
                <w:rPr>
                  <w:color w:val="0070c0"/>
                  <w:u w:val="single"/>
                  <w:rtl w:val="0"/>
                </w:rPr>
                <w:t xml:space="preserve">Standardised tests | Assessing and Monitoring Pupil Progress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2, 4, 7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spacing w:before="60" w:line="240" w:lineRule="auto"/>
              <w:ind w:left="29" w:right="57" w:firstLine="0"/>
              <w:rPr>
                <w:color w:val="000000"/>
              </w:rPr>
            </w:pPr>
            <w:r w:rsidDel="00000000" w:rsidR="00000000" w:rsidRPr="00000000">
              <w:rPr>
                <w:color w:val="000000"/>
                <w:rtl w:val="0"/>
              </w:rPr>
              <w:t xml:space="preserve">Embedding dialogic activities across the school curriculum. These can support pupils to articulate key ideas, consolidate understanding and extend vocabulary. </w:t>
            </w:r>
          </w:p>
          <w:p w:rsidR="00000000" w:rsidDel="00000000" w:rsidP="00000000" w:rsidRDefault="00000000" w:rsidRPr="00000000" w14:paraId="00000077">
            <w:pPr>
              <w:spacing w:after="120" w:before="60" w:line="240" w:lineRule="auto"/>
              <w:ind w:left="57" w:right="57" w:firstLine="0"/>
              <w:rPr>
                <w:color w:val="000000"/>
              </w:rPr>
            </w:pPr>
            <w:r w:rsidDel="00000000" w:rsidR="00000000" w:rsidRPr="00000000">
              <w:rPr>
                <w:color w:val="000000"/>
                <w:rtl w:val="0"/>
              </w:rPr>
              <w:t xml:space="preserve">We will purchase resources, continue with read, write inc, development days and continue to fund ongoing teacher training.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spacing w:after="60" w:before="60" w:line="240" w:lineRule="auto"/>
              <w:ind w:left="57" w:right="57" w:firstLine="0"/>
              <w:rPr>
                <w:color w:val="000000"/>
              </w:rPr>
            </w:pPr>
            <w:r w:rsidDel="00000000" w:rsidR="00000000" w:rsidRPr="00000000">
              <w:rPr>
                <w:color w:val="000000"/>
                <w:rtl w:val="0"/>
              </w:rPr>
              <w:t xml:space="preserve">There is a strong evidence base that suggests oral language interventions, including dialogic activities such as high-quality classroom discussion, are inexpensive to implement with high impacts on reading:</w:t>
            </w:r>
          </w:p>
          <w:p w:rsidR="00000000" w:rsidDel="00000000" w:rsidP="00000000" w:rsidRDefault="00000000" w:rsidRPr="00000000" w14:paraId="00000079">
            <w:pPr>
              <w:spacing w:after="60" w:before="60" w:line="240" w:lineRule="auto"/>
              <w:ind w:left="57" w:right="57" w:firstLine="0"/>
              <w:rPr>
                <w:color w:val="000000"/>
              </w:rPr>
            </w:pPr>
            <w:hyperlink r:id="rId8">
              <w:r w:rsidDel="00000000" w:rsidR="00000000" w:rsidRPr="00000000">
                <w:rPr>
                  <w:color w:val="0070c0"/>
                  <w:u w:val="single"/>
                  <w:rtl w:val="0"/>
                </w:rPr>
                <w:t xml:space="preserve">Oral language interventions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2, 3, 4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spacing w:after="120" w:before="60" w:line="240" w:lineRule="auto"/>
              <w:ind w:left="29" w:right="57" w:firstLine="0"/>
              <w:rPr>
                <w:color w:val="000000"/>
              </w:rPr>
            </w:pPr>
            <w:r w:rsidDel="00000000" w:rsidR="00000000" w:rsidRPr="00000000">
              <w:rPr>
                <w:color w:val="000000"/>
                <w:rtl w:val="0"/>
              </w:rPr>
              <w:t xml:space="preserve">Continue to purchase the resources and support for training of a </w:t>
            </w:r>
            <w:hyperlink r:id="rId9">
              <w:r w:rsidDel="00000000" w:rsidR="00000000" w:rsidRPr="00000000">
                <w:rPr>
                  <w:color w:val="0070c0"/>
                  <w:u w:val="single"/>
                  <w:rtl w:val="0"/>
                </w:rPr>
                <w:t xml:space="preserve">DfE validated Systematic Synthetic Phonics programme</w:t>
              </w:r>
            </w:hyperlink>
            <w:r w:rsidDel="00000000" w:rsidR="00000000" w:rsidRPr="00000000">
              <w:rPr>
                <w:color w:val="000000"/>
                <w:rtl w:val="0"/>
              </w:rPr>
              <w:t xml:space="preserve"> to secure stronger phonics teaching for all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Phonics approaches have a strong evidence base that indicates a positive impact on the accuracy of word reading (though not necessarily comprehension), particularly for disadvantaged pupils: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60" w:line="240" w:lineRule="auto"/>
              <w:ind w:left="57" w:right="57" w:firstLine="0"/>
              <w:rPr>
                <w:color w:val="000000"/>
              </w:rPr>
            </w:pPr>
            <w:hyperlink r:id="rId10">
              <w:r w:rsidDel="00000000" w:rsidR="00000000" w:rsidRPr="00000000">
                <w:rPr>
                  <w:color w:val="0070c0"/>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spacing w:after="120" w:before="60" w:line="240" w:lineRule="auto"/>
              <w:ind w:left="28" w:right="57" w:firstLine="0"/>
              <w:rPr>
                <w:color w:val="000000"/>
              </w:rPr>
            </w:pPr>
            <w:r w:rsidDel="00000000" w:rsidR="00000000" w:rsidRPr="00000000">
              <w:rPr>
                <w:color w:val="000000"/>
                <w:rtl w:val="0"/>
              </w:rPr>
              <w:t xml:space="preserve">Enhancement of our writing and maths teaching and curriculum planning in line with DfE and EEF guidance.</w:t>
            </w:r>
          </w:p>
          <w:p w:rsidR="00000000" w:rsidDel="00000000" w:rsidP="00000000" w:rsidRDefault="00000000" w:rsidRPr="00000000" w14:paraId="00000080">
            <w:pPr>
              <w:spacing w:after="120" w:before="60" w:line="240" w:lineRule="auto"/>
              <w:ind w:left="28" w:right="57" w:firstLine="0"/>
              <w:rPr>
                <w:color w:val="000000"/>
              </w:rPr>
            </w:pPr>
            <w:r w:rsidDel="00000000" w:rsidR="00000000" w:rsidRPr="00000000">
              <w:rPr>
                <w:color w:val="000000"/>
                <w:rtl w:val="0"/>
              </w:rPr>
              <w:t xml:space="preserve">We will fund teacher release time to embed key elements of guidance in school and to access Maths Hub resources and CPD (including Teaching for Mastery training).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spacing w:after="60" w:before="60" w:line="240" w:lineRule="auto"/>
              <w:ind w:left="57" w:right="57" w:firstLine="0"/>
              <w:rPr>
                <w:color w:val="000000"/>
              </w:rPr>
            </w:pPr>
            <w:r w:rsidDel="00000000" w:rsidR="00000000" w:rsidRPr="00000000">
              <w:rPr>
                <w:color w:val="000000"/>
                <w:rtl w:val="0"/>
              </w:rPr>
              <w:t xml:space="preserve">The DfE non-statutory guidance has been produced in conjunction with the National Centre for Excellence in the Teaching of Mathematics, drawing on evidence-based approaches: </w:t>
            </w:r>
          </w:p>
          <w:p w:rsidR="00000000" w:rsidDel="00000000" w:rsidP="00000000" w:rsidRDefault="00000000" w:rsidRPr="00000000" w14:paraId="00000082">
            <w:pPr>
              <w:spacing w:after="120" w:before="60" w:line="240" w:lineRule="auto"/>
              <w:ind w:left="57" w:right="57" w:firstLine="0"/>
              <w:rPr>
                <w:color w:val="0070c0"/>
                <w:u w:val="single"/>
              </w:rPr>
            </w:pPr>
            <w:hyperlink r:id="rId11">
              <w:r w:rsidDel="00000000" w:rsidR="00000000" w:rsidRPr="00000000">
                <w:rPr>
                  <w:color w:val="0070c0"/>
                  <w:u w:val="single"/>
                  <w:rtl w:val="0"/>
                </w:rPr>
                <w:t xml:space="preserve">Maths_guidance_KS_1_and_2.pdf (publishing.service.gov.uk)</w:t>
              </w:r>
            </w:hyperlink>
            <w:r w:rsidDel="00000000" w:rsidR="00000000" w:rsidRPr="00000000">
              <w:rPr>
                <w:rtl w:val="0"/>
              </w:rPr>
            </w:r>
          </w:p>
          <w:p w:rsidR="00000000" w:rsidDel="00000000" w:rsidP="00000000" w:rsidRDefault="00000000" w:rsidRPr="00000000" w14:paraId="00000083">
            <w:pPr>
              <w:spacing w:after="120" w:before="60" w:line="240" w:lineRule="auto"/>
              <w:ind w:left="57" w:right="57" w:firstLine="0"/>
              <w:rPr>
                <w:color w:val="0070c0"/>
                <w:u w:val="single"/>
              </w:rPr>
            </w:pPr>
            <w:hyperlink r:id="rId12">
              <w:r w:rsidDel="00000000" w:rsidR="00000000" w:rsidRPr="00000000">
                <w:rPr>
                  <w:color w:val="0000ff"/>
                  <w:u w:val="single"/>
                  <w:rtl w:val="0"/>
                </w:rPr>
                <w:t xml:space="preserve">Writing in Primary Schools What we know works</w:t>
              </w:r>
            </w:hyperlink>
            <w:r w:rsidDel="00000000" w:rsidR="00000000" w:rsidRPr="00000000">
              <w:rPr>
                <w:rtl w:val="0"/>
              </w:rPr>
            </w:r>
          </w:p>
          <w:p w:rsidR="00000000" w:rsidDel="00000000" w:rsidP="00000000" w:rsidRDefault="00000000" w:rsidRPr="00000000" w14:paraId="00000084">
            <w:pPr>
              <w:spacing w:after="120" w:before="60" w:line="240" w:lineRule="auto"/>
              <w:ind w:left="57" w:right="57" w:firstLine="0"/>
              <w:rPr>
                <w:color w:val="0070c0"/>
              </w:rPr>
            </w:pPr>
            <w:hyperlink r:id="rId13">
              <w:r w:rsidDel="00000000" w:rsidR="00000000" w:rsidRPr="00000000">
                <w:rPr>
                  <w:color w:val="0000ff"/>
                  <w:u w:val="single"/>
                  <w:rtl w:val="0"/>
                </w:rPr>
                <w:t xml:space="preserve">Writing opportunities to support the reading phase</w:t>
              </w:r>
            </w:hyperlink>
            <w:r w:rsidDel="00000000" w:rsidR="00000000" w:rsidRPr="00000000">
              <w:rPr>
                <w:rtl w:val="0"/>
              </w:rPr>
            </w:r>
          </w:p>
          <w:p w:rsidR="00000000" w:rsidDel="00000000" w:rsidP="00000000" w:rsidRDefault="00000000" w:rsidRPr="00000000" w14:paraId="00000085">
            <w:pPr>
              <w:spacing w:after="60" w:before="120" w:line="240" w:lineRule="auto"/>
              <w:ind w:left="57" w:right="57" w:firstLine="0"/>
              <w:rPr>
                <w:color w:val="000000"/>
              </w:rPr>
            </w:pPr>
            <w:r w:rsidDel="00000000" w:rsidR="00000000" w:rsidRPr="00000000">
              <w:rPr>
                <w:color w:val="000000"/>
                <w:rtl w:val="0"/>
              </w:rPr>
              <w:t xml:space="preserve">The EEF guidance is based on a range of the best available evidence: </w:t>
            </w:r>
          </w:p>
          <w:p w:rsidR="00000000" w:rsidDel="00000000" w:rsidP="00000000" w:rsidRDefault="00000000" w:rsidRPr="00000000" w14:paraId="00000086">
            <w:pPr>
              <w:spacing w:after="120" w:before="60" w:line="240" w:lineRule="auto"/>
              <w:ind w:left="57" w:right="57" w:firstLine="0"/>
              <w:rPr>
                <w:color w:val="0070c0"/>
                <w:u w:val="single"/>
              </w:rPr>
            </w:pPr>
            <w:hyperlink r:id="rId14">
              <w:r w:rsidDel="00000000" w:rsidR="00000000" w:rsidRPr="00000000">
                <w:rPr>
                  <w:color w:val="0070c0"/>
                  <w:u w:val="single"/>
                  <w:rtl w:val="0"/>
                </w:rPr>
                <w:t xml:space="preserve">Improving Mathematics in Key Stages 2 and 3</w:t>
              </w:r>
            </w:hyperlink>
            <w:r w:rsidDel="00000000" w:rsidR="00000000" w:rsidRPr="00000000">
              <w:rPr>
                <w:rtl w:val="0"/>
              </w:rPr>
            </w:r>
          </w:p>
          <w:p w:rsidR="00000000" w:rsidDel="00000000" w:rsidP="00000000" w:rsidRDefault="00000000" w:rsidRPr="00000000" w14:paraId="00000087">
            <w:pPr>
              <w:spacing w:after="120" w:before="60" w:line="240" w:lineRule="auto"/>
              <w:ind w:left="57" w:right="57" w:firstLine="0"/>
              <w:rPr>
                <w:color w:val="0070c0"/>
                <w:u w:val="single"/>
              </w:rPr>
            </w:pPr>
            <w:hyperlink r:id="rId15">
              <w:r w:rsidDel="00000000" w:rsidR="00000000" w:rsidRPr="00000000">
                <w:rPr>
                  <w:color w:val="0000ff"/>
                  <w:u w:val="single"/>
                  <w:rtl w:val="0"/>
                </w:rPr>
                <w:t xml:space="preserve">Improving Literacy in Key Stage 1</w:t>
              </w:r>
            </w:hyperlink>
            <w:r w:rsidDel="00000000" w:rsidR="00000000" w:rsidRPr="00000000">
              <w:rPr>
                <w:rtl w:val="0"/>
              </w:rPr>
            </w:r>
          </w:p>
          <w:p w:rsidR="00000000" w:rsidDel="00000000" w:rsidP="00000000" w:rsidRDefault="00000000" w:rsidRPr="00000000" w14:paraId="00000088">
            <w:pPr>
              <w:spacing w:after="120" w:before="60" w:line="240" w:lineRule="auto"/>
              <w:ind w:left="57" w:right="57" w:firstLine="0"/>
              <w:rPr>
                <w:color w:val="0070c0"/>
                <w:u w:val="single"/>
              </w:rPr>
            </w:pPr>
            <w:hyperlink r:id="rId16">
              <w:r w:rsidDel="00000000" w:rsidR="00000000" w:rsidRPr="00000000">
                <w:rPr>
                  <w:color w:val="0000ff"/>
                  <w:u w:val="single"/>
                  <w:rtl w:val="0"/>
                </w:rPr>
                <w:t xml:space="preserve">Improving Literacy in Key Stage 2</w:t>
              </w:r>
            </w:hyperlink>
            <w:r w:rsidDel="00000000" w:rsidR="00000000" w:rsidRPr="00000000">
              <w:rPr>
                <w:rtl w:val="0"/>
              </w:rPr>
            </w:r>
          </w:p>
          <w:p w:rsidR="00000000" w:rsidDel="00000000" w:rsidP="00000000" w:rsidRDefault="00000000" w:rsidRPr="00000000" w14:paraId="00000089">
            <w:pPr>
              <w:spacing w:after="120" w:before="60" w:line="240" w:lineRule="auto"/>
              <w:ind w:left="57" w:right="57" w:firstLine="0"/>
              <w:rPr>
                <w:color w:val="000000"/>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spacing w:after="0" w:before="60" w:line="240" w:lineRule="auto"/>
              <w:ind w:left="29" w:firstLine="0"/>
              <w:rPr>
                <w:color w:val="000000"/>
              </w:rPr>
            </w:pPr>
            <w:r w:rsidDel="00000000" w:rsidR="00000000" w:rsidRPr="00000000">
              <w:rPr>
                <w:color w:val="000000"/>
                <w:rtl w:val="0"/>
              </w:rPr>
              <w:t xml:space="preserve">Improve the quality of social and emotional (SEL) learning.</w:t>
            </w:r>
          </w:p>
          <w:p w:rsidR="00000000" w:rsidDel="00000000" w:rsidP="00000000" w:rsidRDefault="00000000" w:rsidRPr="00000000" w14:paraId="0000008C">
            <w:pPr>
              <w:spacing w:after="0" w:line="240" w:lineRule="auto"/>
              <w:rPr>
                <w:color w:val="000000"/>
              </w:rPr>
            </w:pPr>
            <w:r w:rsidDel="00000000" w:rsidR="00000000" w:rsidRPr="00000000">
              <w:rPr>
                <w:rtl w:val="0"/>
              </w:rPr>
            </w:r>
          </w:p>
          <w:p w:rsidR="00000000" w:rsidDel="00000000" w:rsidP="00000000" w:rsidRDefault="00000000" w:rsidRPr="00000000" w14:paraId="0000008D">
            <w:pPr>
              <w:spacing w:line="240" w:lineRule="auto"/>
              <w:rPr>
                <w:color w:val="000000"/>
              </w:rPr>
            </w:pPr>
            <w:r w:rsidDel="00000000" w:rsidR="00000000" w:rsidRPr="00000000">
              <w:rPr>
                <w:color w:val="000000"/>
                <w:rtl w:val="0"/>
              </w:rPr>
              <w:t xml:space="preserve">SEL approaches will be embedded into routine educational practices and supported by professional development and training for staff.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There is extensive evidence associating childhood social and emotional skills with improved outcomes at school and in later life (e.g., improved academic performance, attitudes, behaviour and relationships with peers):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60" w:line="240" w:lineRule="auto"/>
              <w:ind w:left="57" w:right="57" w:firstLine="0"/>
              <w:rPr>
                <w:color w:val="000000"/>
              </w:rPr>
            </w:pPr>
            <w:hyperlink r:id="rId17">
              <w:r w:rsidDel="00000000" w:rsidR="00000000" w:rsidRPr="00000000">
                <w:rPr>
                  <w:color w:val="0070c0"/>
                  <w:u w:val="single"/>
                  <w:rtl w:val="0"/>
                </w:rPr>
                <w:t xml:space="preserve">EEF_Social_and_Emotional_Learning.pdf(educationendowmentfoundation.org.uk)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60" w:before="60" w:line="240" w:lineRule="auto"/>
              <w:ind w:left="57" w:right="57" w:firstLine="0"/>
              <w:rPr>
                <w:color w:val="000000"/>
                <w:highlight w:val="yellow"/>
              </w:rPr>
            </w:pPr>
            <w:r w:rsidDel="00000000" w:rsidR="00000000" w:rsidRPr="00000000">
              <w:rPr>
                <w:color w:val="000000"/>
                <w:rtl w:val="0"/>
              </w:rPr>
              <w:t xml:space="preserve">5</w:t>
            </w:r>
            <w:r w:rsidDel="00000000" w:rsidR="00000000" w:rsidRPr="00000000">
              <w:rPr>
                <w:rtl w:val="0"/>
              </w:rPr>
            </w:r>
          </w:p>
        </w:tc>
      </w:tr>
    </w:tbl>
    <w:p w:rsidR="00000000" w:rsidDel="00000000" w:rsidP="00000000" w:rsidRDefault="00000000" w:rsidRPr="00000000" w14:paraId="00000091">
      <w:pPr>
        <w:keepNext w:val="1"/>
        <w:spacing w:after="60" w:lineRule="auto"/>
        <w:rPr/>
      </w:pPr>
      <w:r w:rsidDel="00000000" w:rsidR="00000000" w:rsidRPr="00000000">
        <w:rPr>
          <w:rtl w:val="0"/>
        </w:rPr>
      </w:r>
    </w:p>
    <w:p w:rsidR="00000000" w:rsidDel="00000000" w:rsidP="00000000" w:rsidRDefault="00000000" w:rsidRPr="00000000" w14:paraId="00000092">
      <w:pPr>
        <w:spacing w:before="240" w:lineRule="auto"/>
        <w:rPr>
          <w:b w:val="1"/>
          <w:color w:val="104f75"/>
          <w:sz w:val="28"/>
          <w:szCs w:val="28"/>
        </w:rPr>
      </w:pPr>
      <w:r w:rsidDel="00000000" w:rsidR="00000000" w:rsidRPr="00000000">
        <w:rPr>
          <w:b w:val="1"/>
          <w:color w:val="104f75"/>
          <w:sz w:val="28"/>
          <w:szCs w:val="28"/>
          <w:rtl w:val="0"/>
        </w:rPr>
        <w:t xml:space="preserve">Targeted academic support (for example, tutoring, one-to-one support structured interventions) </w:t>
      </w:r>
    </w:p>
    <w:p w:rsidR="00000000" w:rsidDel="00000000" w:rsidP="00000000" w:rsidRDefault="00000000" w:rsidRPr="00000000" w14:paraId="00000093">
      <w:pPr>
        <w:rPr/>
      </w:pPr>
      <w:r w:rsidDel="00000000" w:rsidR="00000000" w:rsidRPr="00000000">
        <w:rPr>
          <w:rtl w:val="0"/>
        </w:rPr>
        <w:t xml:space="preserve">Budgeted cost: </w:t>
      </w:r>
      <w:r w:rsidDel="00000000" w:rsidR="00000000" w:rsidRPr="00000000">
        <w:rPr>
          <w:b w:val="1"/>
          <w:color w:val="000000"/>
          <w:rtl w:val="0"/>
        </w:rPr>
        <w:t xml:space="preserve">£166,300</w:t>
      </w:r>
      <w:r w:rsidDel="00000000" w:rsidR="00000000" w:rsidRPr="00000000">
        <w:rPr>
          <w:rtl w:val="0"/>
        </w:rPr>
      </w:r>
    </w:p>
    <w:tbl>
      <w:tblPr>
        <w:tblStyle w:val="Table7"/>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4972"/>
        <w:gridCol w:w="1542"/>
        <w:tblGridChange w:id="0">
          <w:tblGrid>
            <w:gridCol w:w="2972"/>
            <w:gridCol w:w="4972"/>
            <w:gridCol w:w="15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Purchase of a programme to improve listening, narrative and vocabulary skills for disadvantaged pupils who have relatively low spoken language skills.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Oral language interventions can have a positive impact on pupils’ language skills. Approaches that focus on speaking, listening and a combination of the two show positive impacts on attainment:</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before="60" w:line="240" w:lineRule="auto"/>
              <w:ind w:left="57" w:right="57" w:firstLine="0"/>
              <w:rPr>
                <w:color w:val="0070c0"/>
              </w:rPr>
            </w:pPr>
            <w:hyperlink r:id="rId18">
              <w:r w:rsidDel="00000000" w:rsidR="00000000" w:rsidRPr="00000000">
                <w:rPr>
                  <w:color w:val="0070c0"/>
                  <w:u w:val="single"/>
                  <w:rtl w:val="0"/>
                </w:rPr>
                <w:t xml:space="preserve">Oral language interventions | EEF (educationendowmentfoundation.org.uk)</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2, 3, 4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Invest in intervention programmes to support group and one to one learning supported by teaching assistants.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EEF guidance to use TAs to support group and one to one interventions.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60" w:before="60" w:line="240" w:lineRule="auto"/>
              <w:ind w:left="57" w:right="57" w:firstLine="0"/>
              <w:rPr>
                <w:color w:val="000000"/>
              </w:rPr>
            </w:pPr>
            <w:hyperlink r:id="rId19">
              <w:r w:rsidDel="00000000" w:rsidR="00000000" w:rsidRPr="00000000">
                <w:rPr>
                  <w:color w:val="0000ff"/>
                  <w:u w:val="single"/>
                  <w:rtl w:val="0"/>
                </w:rPr>
                <w:t xml:space="preserve">EEF Making best use of teaching assistants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2, 4, 7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Additional phonics sessions targeted at disadvantaged pupils who require further phonics support. This will be delivered in collaboration with our local English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60" w:line="240" w:lineRule="auto"/>
              <w:ind w:left="57" w:right="57" w:firstLine="0"/>
              <w:rPr>
                <w:color w:val="000000"/>
              </w:rPr>
            </w:pPr>
            <w:hyperlink r:id="rId20">
              <w:r w:rsidDel="00000000" w:rsidR="00000000" w:rsidRPr="00000000">
                <w:rPr>
                  <w:color w:val="0070c0"/>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3, 4</w:t>
            </w:r>
          </w:p>
        </w:tc>
      </w:tr>
    </w:tbl>
    <w:p w:rsidR="00000000" w:rsidDel="00000000" w:rsidP="00000000" w:rsidRDefault="00000000" w:rsidRPr="00000000" w14:paraId="000000A4">
      <w:pPr>
        <w:spacing w:before="480" w:lineRule="auto"/>
        <w:rPr>
          <w:b w:val="1"/>
          <w:color w:val="104f75"/>
          <w:sz w:val="28"/>
          <w:szCs w:val="28"/>
        </w:rPr>
      </w:pPr>
      <w:r w:rsidDel="00000000" w:rsidR="00000000" w:rsidRPr="00000000">
        <w:rPr>
          <w:b w:val="1"/>
          <w:color w:val="104f75"/>
          <w:sz w:val="28"/>
          <w:szCs w:val="28"/>
          <w:rtl w:val="0"/>
        </w:rPr>
        <w:t xml:space="preserve">Wider strategies (social care support and wellbeing)</w:t>
      </w:r>
    </w:p>
    <w:p w:rsidR="00000000" w:rsidDel="00000000" w:rsidP="00000000" w:rsidRDefault="00000000" w:rsidRPr="00000000" w14:paraId="000000A5">
      <w:pPr>
        <w:spacing w:before="240" w:lineRule="auto"/>
        <w:rPr/>
      </w:pPr>
      <w:r w:rsidDel="00000000" w:rsidR="00000000" w:rsidRPr="00000000">
        <w:rPr>
          <w:rtl w:val="0"/>
        </w:rPr>
        <w:t xml:space="preserve">Budgeted cost: </w:t>
      </w:r>
      <w:r w:rsidDel="00000000" w:rsidR="00000000" w:rsidRPr="00000000">
        <w:rPr>
          <w:b w:val="1"/>
          <w:color w:val="000000"/>
          <w:rtl w:val="0"/>
        </w:rPr>
        <w:t xml:space="preserve">£150,000</w:t>
      </w:r>
      <w:r w:rsidDel="00000000" w:rsidR="00000000" w:rsidRPr="00000000">
        <w:rPr>
          <w:rtl w:val="0"/>
        </w:rPr>
      </w:r>
    </w:p>
    <w:tbl>
      <w:tblPr>
        <w:tblStyle w:val="Table8"/>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6"/>
        <w:gridCol w:w="3706"/>
        <w:gridCol w:w="1534"/>
        <w:tblGridChange w:id="0">
          <w:tblGrid>
            <w:gridCol w:w="4246"/>
            <w:gridCol w:w="3706"/>
            <w:gridCol w:w="15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60" w:line="240" w:lineRule="auto"/>
              <w:ind w:left="29" w:right="57" w:firstLine="0"/>
              <w:rPr>
                <w:color w:val="000000"/>
              </w:rPr>
            </w:pPr>
            <w:r w:rsidDel="00000000" w:rsidR="00000000" w:rsidRPr="00000000">
              <w:rPr>
                <w:color w:val="000000"/>
                <w:rtl w:val="0"/>
              </w:rPr>
              <w:t xml:space="preserve">Embedding principles of good practice set out in the DfE’s </w:t>
            </w:r>
            <w:hyperlink r:id="rId21">
              <w:r w:rsidDel="00000000" w:rsidR="00000000" w:rsidRPr="00000000">
                <w:rPr>
                  <w:color w:val="0070c0"/>
                  <w:u w:val="single"/>
                  <w:rtl w:val="0"/>
                </w:rPr>
                <w:t xml:space="preserve">Improving School Attendance</w:t>
              </w:r>
            </w:hyperlink>
            <w:r w:rsidDel="00000000" w:rsidR="00000000" w:rsidRPr="00000000">
              <w:rPr>
                <w:color w:val="0070c0"/>
                <w:rtl w:val="0"/>
              </w:rPr>
              <w:t xml:space="preserve"> </w:t>
            </w:r>
            <w:r w:rsidDel="00000000" w:rsidR="00000000" w:rsidRPr="00000000">
              <w:rPr>
                <w:color w:val="000000"/>
                <w:rtl w:val="0"/>
              </w:rPr>
              <w:t xml:space="preserve">advice.</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60" w:line="240" w:lineRule="auto"/>
              <w:ind w:right="57"/>
              <w:rPr>
                <w:color w:val="000000"/>
              </w:rPr>
            </w:pPr>
            <w:r w:rsidDel="00000000" w:rsidR="00000000" w:rsidRPr="00000000">
              <w:rPr>
                <w:color w:val="000000"/>
                <w:rtl w:val="0"/>
              </w:rPr>
              <w:t xml:space="preserve">This will involve recruitment, training and release time for staff to develop and implement new procedures and appointing attendance/support officers to improve attendance.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color w:val="000000"/>
                <w:rtl w:val="0"/>
              </w:rPr>
              <w:t xml:space="preserve">The DfE guidance has been informed by engagement with schools that have significantly reduced levels of absence and persistent absence.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60" w:line="240" w:lineRule="auto"/>
              <w:ind w:left="29" w:right="57" w:firstLine="0"/>
              <w:rPr>
                <w:color w:val="000000"/>
              </w:rPr>
            </w:pPr>
            <w:r w:rsidDel="00000000" w:rsidR="00000000" w:rsidRPr="00000000">
              <w:rPr>
                <w:color w:val="000000"/>
                <w:rtl w:val="0"/>
              </w:rPr>
              <w:t xml:space="preserve">Implement the Beehive programme and use of additional mentors – wellbeing and learning mentor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60" w:before="60" w:line="240" w:lineRule="auto"/>
              <w:ind w:left="57" w:right="57" w:firstLine="0"/>
              <w:rPr>
                <w:color w:val="000000"/>
              </w:rPr>
            </w:pPr>
            <w:hyperlink r:id="rId22">
              <w:r w:rsidDel="00000000" w:rsidR="00000000" w:rsidRPr="00000000">
                <w:rPr>
                  <w:color w:val="0000ff"/>
                  <w:u w:val="single"/>
                  <w:rtl w:val="0"/>
                </w:rPr>
                <w:t xml:space="preserve">The DFE case for improving mental health</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All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spacing w:after="60" w:before="60" w:line="240" w:lineRule="auto"/>
              <w:ind w:left="29" w:right="57" w:firstLine="0"/>
              <w:rPr>
                <w:color w:val="000000"/>
              </w:rPr>
            </w:pPr>
            <w:r w:rsidDel="00000000" w:rsidR="00000000" w:rsidRPr="00000000">
              <w:rPr>
                <w:color w:val="000000"/>
                <w:rtl w:val="0"/>
              </w:rPr>
              <w:t xml:space="preserve">Contingency fund for acute issues.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60" w:before="60" w:line="240" w:lineRule="auto"/>
              <w:ind w:left="57" w:right="57"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60" w:line="240" w:lineRule="auto"/>
              <w:ind w:left="37" w:right="57" w:firstLine="0"/>
              <w:rPr>
                <w:color w:val="000000"/>
              </w:rPr>
            </w:pPr>
            <w:r w:rsidDel="00000000" w:rsidR="00000000" w:rsidRPr="00000000">
              <w:rPr>
                <w:color w:val="000000"/>
                <w:rtl w:val="0"/>
              </w:rPr>
              <w:t xml:space="preserve">Based on our experiences we have set a small amount of funding aside to respond quickly to needs that have not yet been identified.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60" w:before="60" w:line="240" w:lineRule="auto"/>
              <w:ind w:left="57" w:right="57" w:firstLine="0"/>
              <w:rPr>
                <w:color w:val="000000"/>
                <w:sz w:val="22"/>
                <w:szCs w:val="22"/>
              </w:rPr>
            </w:pPr>
            <w:r w:rsidDel="00000000" w:rsidR="00000000" w:rsidRPr="00000000">
              <w:rPr>
                <w:color w:val="000000"/>
                <w:sz w:val="22"/>
                <w:szCs w:val="22"/>
                <w:rtl w:val="0"/>
              </w:rPr>
              <w:t xml:space="preserve">All</w:t>
            </w:r>
          </w:p>
        </w:tc>
      </w:tr>
    </w:tbl>
    <w:p w:rsidR="00000000" w:rsidDel="00000000" w:rsidP="00000000" w:rsidRDefault="00000000" w:rsidRPr="00000000" w14:paraId="000000B4">
      <w:pPr>
        <w:spacing w:after="120" w:lineRule="auto"/>
        <w:rPr>
          <w:b w:val="1"/>
          <w:color w:val="104f75"/>
          <w:sz w:val="28"/>
          <w:szCs w:val="28"/>
        </w:rPr>
      </w:pPr>
      <w:r w:rsidDel="00000000" w:rsidR="00000000" w:rsidRPr="00000000">
        <w:rPr>
          <w:rtl w:val="0"/>
        </w:rPr>
      </w:r>
    </w:p>
    <w:p w:rsidR="00000000" w:rsidDel="00000000" w:rsidP="00000000" w:rsidRDefault="00000000" w:rsidRPr="00000000" w14:paraId="000000B5">
      <w:pPr>
        <w:rPr/>
      </w:pPr>
      <w:r w:rsidDel="00000000" w:rsidR="00000000" w:rsidRPr="00000000">
        <w:rPr>
          <w:b w:val="1"/>
          <w:color w:val="104f75"/>
          <w:sz w:val="28"/>
          <w:szCs w:val="28"/>
          <w:rtl w:val="0"/>
        </w:rPr>
        <w:t xml:space="preserve">Total budgeted cost: </w:t>
      </w: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362,300</w:t>
      </w:r>
      <w:r w:rsidDel="00000000" w:rsidR="00000000" w:rsidRPr="00000000">
        <w:rPr>
          <w:rtl w:val="0"/>
        </w:rPr>
      </w:r>
    </w:p>
    <w:p w:rsidR="00000000" w:rsidDel="00000000" w:rsidP="00000000" w:rsidRDefault="00000000" w:rsidRPr="00000000" w14:paraId="000000B6">
      <w:pPr>
        <w:pStyle w:val="Heading1"/>
        <w:rPr/>
      </w:pPr>
      <w:r w:rsidDel="00000000" w:rsidR="00000000" w:rsidRPr="00000000">
        <w:rPr>
          <w:rtl w:val="0"/>
        </w:rPr>
        <w:t xml:space="preserve">Part B: Review of outcomes in the previous academic year</w:t>
      </w:r>
    </w:p>
    <w:p w:rsidR="00000000" w:rsidDel="00000000" w:rsidP="00000000" w:rsidRDefault="00000000" w:rsidRPr="00000000" w14:paraId="000000B7">
      <w:pPr>
        <w:spacing w:before="120" w:lineRule="auto"/>
        <w:rPr/>
      </w:pPr>
      <w:r w:rsidDel="00000000" w:rsidR="00000000" w:rsidRPr="00000000">
        <w:rPr>
          <w:rtl w:val="0"/>
        </w:rPr>
        <w:t xml:space="preserve">Pupil premium strategy outcomes </w:t>
      </w:r>
    </w:p>
    <w:p w:rsidR="00000000" w:rsidDel="00000000" w:rsidP="00000000" w:rsidRDefault="00000000" w:rsidRPr="00000000" w14:paraId="000000B8">
      <w:pPr>
        <w:spacing w:before="120" w:lineRule="auto"/>
        <w:rPr/>
      </w:pPr>
      <w:r w:rsidDel="00000000" w:rsidR="00000000" w:rsidRPr="00000000">
        <w:rPr>
          <w:rtl w:val="0"/>
        </w:rPr>
        <w:t xml:space="preserve">This details the impact that our pupil premium activity had on pupils in the 2023 to 2024 academic year. </w:t>
      </w:r>
    </w:p>
    <w:tbl>
      <w:tblPr>
        <w:tblStyle w:val="Table9"/>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3"/>
        <w:tblGridChange w:id="0">
          <w:tblGrid>
            <w:gridCol w:w="9493"/>
          </w:tblGrid>
        </w:tblGridChange>
      </w:tblGrid>
      <w:tr>
        <w:trPr>
          <w:cantSplit w:val="0"/>
          <w:trHeight w:val="1407"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B9">
            <w:pPr>
              <w:spacing w:before="120" w:lineRule="auto"/>
              <w:rPr>
                <w:b w:val="1"/>
                <w:color w:val="000000"/>
              </w:rPr>
            </w:pPr>
            <w:r w:rsidDel="00000000" w:rsidR="00000000" w:rsidRPr="00000000">
              <w:rPr>
                <w:b w:val="1"/>
                <w:color w:val="000000"/>
                <w:rtl w:val="0"/>
              </w:rPr>
              <w:t xml:space="preserve">Intended outcome 1</w:t>
            </w:r>
          </w:p>
          <w:p w:rsidR="00000000" w:rsidDel="00000000" w:rsidP="00000000" w:rsidRDefault="00000000" w:rsidRPr="00000000" w14:paraId="000000BA">
            <w:pPr>
              <w:spacing w:before="120" w:lineRule="auto"/>
              <w:rPr>
                <w:color w:val="000000"/>
              </w:rPr>
            </w:pPr>
            <w:r w:rsidDel="00000000" w:rsidR="00000000" w:rsidRPr="00000000">
              <w:rPr>
                <w:color w:val="000000"/>
                <w:rtl w:val="0"/>
              </w:rPr>
              <w:t xml:space="preserve">To achieve and sustain improved attendance for all pupils, particularly our disadvantaged pupils.</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BB">
            <w:pPr>
              <w:spacing w:after="60" w:before="60" w:line="240" w:lineRule="auto"/>
              <w:ind w:right="57"/>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0BC">
            <w:pPr>
              <w:spacing w:after="60" w:before="60" w:line="240" w:lineRule="auto"/>
              <w:ind w:right="57"/>
              <w:rPr>
                <w:color w:val="000000"/>
              </w:rPr>
            </w:pPr>
            <w:r w:rsidDel="00000000" w:rsidR="00000000" w:rsidRPr="00000000">
              <w:rPr>
                <w:color w:val="000000"/>
                <w:rtl w:val="0"/>
              </w:rPr>
              <w:t xml:space="preserve">Sustained high attendance from 2023/2024 demonstrated by:</w:t>
            </w:r>
          </w:p>
          <w:p w:rsidR="00000000" w:rsidDel="00000000" w:rsidP="00000000" w:rsidRDefault="00000000" w:rsidRPr="00000000" w14:paraId="000000BD">
            <w:pPr>
              <w:spacing w:after="60" w:before="60" w:line="240" w:lineRule="auto"/>
              <w:ind w:right="57"/>
              <w:rPr>
                <w:color w:val="000000"/>
              </w:rPr>
            </w:pPr>
            <w:r w:rsidDel="00000000" w:rsidR="00000000" w:rsidRPr="00000000">
              <w:rPr>
                <w:color w:val="000000"/>
                <w:rtl w:val="0"/>
              </w:rPr>
              <w:t xml:space="preserve">the overall absence rate for all pupils being no more than 5%, and the attendance gap between disadvantaged pupils and their non-disadvantaged peers being reduced to within 5% of their peers.</w:t>
            </w:r>
          </w:p>
          <w:p w:rsidR="00000000" w:rsidDel="00000000" w:rsidP="00000000" w:rsidRDefault="00000000" w:rsidRPr="00000000" w14:paraId="000000BE">
            <w:pPr>
              <w:spacing w:before="120" w:lineRule="auto"/>
              <w:rPr>
                <w:color w:val="000000"/>
              </w:rPr>
            </w:pPr>
            <w:r w:rsidDel="00000000" w:rsidR="00000000" w:rsidRPr="00000000">
              <w:rPr>
                <w:color w:val="000000"/>
                <w:rtl w:val="0"/>
              </w:rPr>
              <w:t xml:space="preserve">the percentage of all pupils who are persistently absent being below 10% and the figure among disadvantaged pupils being no more than 5% lower than their peers</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spacing w:after="60" w:before="60" w:line="240" w:lineRule="auto"/>
              <w:ind w:left="57" w:right="57" w:firstLine="0"/>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0C0">
            <w:pPr>
              <w:spacing w:after="60" w:before="60" w:line="240" w:lineRule="auto"/>
              <w:ind w:left="57" w:right="57" w:firstLine="0"/>
              <w:rPr>
                <w:color w:val="000000"/>
              </w:rPr>
            </w:pPr>
            <w:r w:rsidDel="00000000" w:rsidR="00000000" w:rsidRPr="00000000">
              <w:rPr>
                <w:rtl w:val="0"/>
              </w:rPr>
            </w:r>
          </w:p>
          <w:p w:rsidR="00000000" w:rsidDel="00000000" w:rsidP="00000000" w:rsidRDefault="00000000" w:rsidRPr="00000000" w14:paraId="000000C1">
            <w:pPr>
              <w:spacing w:after="60" w:before="60" w:line="240" w:lineRule="auto"/>
              <w:ind w:left="57" w:right="57" w:firstLine="0"/>
              <w:rPr>
                <w:color w:val="000000"/>
              </w:rPr>
            </w:pPr>
            <w:r w:rsidDel="00000000" w:rsidR="00000000" w:rsidRPr="00000000">
              <w:rPr>
                <w:color w:val="000000"/>
              </w:rPr>
              <w:drawing>
                <wp:inline distB="114300" distT="114300" distL="114300" distR="114300">
                  <wp:extent cx="5895975" cy="876300"/>
                  <wp:effectExtent b="0" l="0" r="0" t="0"/>
                  <wp:docPr id="3"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589597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3">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Demonstrable impact- improved overall attendance of Pupil Premium pupils as well as reduced rates of persistent absenteeism for PP pupils.</w:t>
            </w:r>
          </w:p>
          <w:p w:rsidR="00000000" w:rsidDel="00000000" w:rsidP="00000000" w:rsidRDefault="00000000" w:rsidRPr="00000000" w14:paraId="000000C4">
            <w:pPr>
              <w:spacing w:after="0" w:line="240"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tbl>
      <w:tblPr>
        <w:tblStyle w:val="Table1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3"/>
        <w:tblGridChange w:id="0">
          <w:tblGrid>
            <w:gridCol w:w="9493"/>
          </w:tblGrid>
        </w:tblGridChange>
      </w:tblGrid>
      <w:tr>
        <w:trPr>
          <w:cantSplit w:val="0"/>
          <w:trHeight w:val="878"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C6">
            <w:pPr>
              <w:spacing w:after="60" w:before="60" w:line="240" w:lineRule="auto"/>
              <w:ind w:left="57" w:right="57" w:firstLine="0"/>
              <w:rPr>
                <w:b w:val="1"/>
                <w:color w:val="000000"/>
              </w:rPr>
            </w:pPr>
            <w:r w:rsidDel="00000000" w:rsidR="00000000" w:rsidRPr="00000000">
              <w:rPr>
                <w:b w:val="1"/>
                <w:color w:val="000000"/>
                <w:rtl w:val="0"/>
              </w:rPr>
              <w:t xml:space="preserve">Intended outcome 2</w:t>
            </w:r>
          </w:p>
          <w:p w:rsidR="00000000" w:rsidDel="00000000" w:rsidP="00000000" w:rsidRDefault="00000000" w:rsidRPr="00000000" w14:paraId="000000C7">
            <w:pPr>
              <w:spacing w:after="60" w:before="60" w:line="240" w:lineRule="auto"/>
              <w:ind w:left="57" w:right="57" w:firstLine="0"/>
              <w:rPr>
                <w:color w:val="000000"/>
              </w:rPr>
            </w:pPr>
            <w:r w:rsidDel="00000000" w:rsidR="00000000" w:rsidRPr="00000000">
              <w:rPr>
                <w:color w:val="000000"/>
                <w:rtl w:val="0"/>
              </w:rPr>
              <w:t xml:space="preserve">Improved oral language skills and vocabulary among disadvantaged pupils. </w:t>
            </w:r>
          </w:p>
        </w:tc>
      </w:tr>
      <w:tr>
        <w:trPr>
          <w:cantSplit w:val="0"/>
          <w:trHeight w:val="1518"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C8">
            <w:pPr>
              <w:spacing w:after="6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0C9">
            <w:pPr>
              <w:spacing w:after="60" w:before="60" w:line="240" w:lineRule="auto"/>
              <w:ind w:left="57" w:right="57" w:firstLine="0"/>
              <w:rPr>
                <w:color w:val="000000"/>
              </w:rPr>
            </w:pPr>
            <w:r w:rsidDel="00000000" w:rsidR="00000000" w:rsidRPr="00000000">
              <w:rPr>
                <w:color w:val="000000"/>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w:t>
            </w:r>
          </w:p>
        </w:tc>
      </w:tr>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A">
            <w:pPr>
              <w:spacing w:after="60" w:before="60" w:line="240" w:lineRule="auto"/>
              <w:ind w:left="57" w:right="57" w:firstLine="0"/>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0CB">
            <w:pPr>
              <w:spacing w:after="60" w:before="60" w:line="240" w:lineRule="auto"/>
              <w:ind w:left="57" w:right="57" w:firstLine="0"/>
              <w:rPr>
                <w:color w:val="000000"/>
              </w:rPr>
            </w:pPr>
            <w:r w:rsidDel="00000000" w:rsidR="00000000" w:rsidRPr="00000000">
              <w:rPr>
                <w:color w:val="000000"/>
                <w:rtl w:val="0"/>
              </w:rPr>
              <w:t xml:space="preserve">79% of pupils met the expected standard in EYFS for spoken language in 2021/22.  This improved to 86% in 2022/23 and 82% in 2023/24.</w:t>
            </w:r>
          </w:p>
          <w:p w:rsidR="00000000" w:rsidDel="00000000" w:rsidP="00000000" w:rsidRDefault="00000000" w:rsidRPr="00000000" w14:paraId="000000CC">
            <w:pPr>
              <w:spacing w:after="60" w:before="60" w:line="240" w:lineRule="auto"/>
              <w:ind w:left="0" w:right="57" w:firstLine="0"/>
              <w:rPr>
                <w:color w:val="000000"/>
              </w:rPr>
            </w:pP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CD">
            <w:pPr>
              <w:spacing w:after="60" w:before="60" w:line="240" w:lineRule="auto"/>
              <w:ind w:left="57" w:right="57" w:firstLine="0"/>
              <w:rPr>
                <w:b w:val="1"/>
                <w:color w:val="000000"/>
              </w:rPr>
            </w:pPr>
            <w:r w:rsidDel="00000000" w:rsidR="00000000" w:rsidRPr="00000000">
              <w:rPr>
                <w:b w:val="1"/>
                <w:color w:val="000000"/>
                <w:rtl w:val="0"/>
              </w:rPr>
              <w:t xml:space="preserve">Intended outcome 3</w:t>
            </w:r>
          </w:p>
          <w:p w:rsidR="00000000" w:rsidDel="00000000" w:rsidP="00000000" w:rsidRDefault="00000000" w:rsidRPr="00000000" w14:paraId="000000CE">
            <w:pPr>
              <w:spacing w:after="60" w:before="60" w:line="240" w:lineRule="auto"/>
              <w:ind w:left="57" w:right="57" w:firstLine="0"/>
              <w:rPr>
                <w:b w:val="1"/>
                <w:color w:val="000000"/>
              </w:rPr>
            </w:pPr>
            <w:r w:rsidDel="00000000" w:rsidR="00000000" w:rsidRPr="00000000">
              <w:rPr>
                <w:color w:val="000000"/>
                <w:rtl w:val="0"/>
              </w:rPr>
              <w:t xml:space="preserve">Improved reading attainment among disadvantaged pupils.</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0CF">
            <w:pPr>
              <w:spacing w:after="6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0D0">
            <w:pPr>
              <w:spacing w:after="60" w:before="60" w:line="240" w:lineRule="auto"/>
              <w:ind w:left="57" w:right="57" w:firstLine="0"/>
              <w:rPr>
                <w:b w:val="1"/>
                <w:color w:val="000000"/>
              </w:rPr>
            </w:pPr>
            <w:r w:rsidDel="00000000" w:rsidR="00000000" w:rsidRPr="00000000">
              <w:rPr>
                <w:color w:val="000000"/>
                <w:rtl w:val="0"/>
              </w:rPr>
              <w:t xml:space="preserve">KS2 reading outcomes in 2023/2024 show that more than 80% of disadvantaged pupils met the expected standard.</w:t>
            </w:r>
            <w:r w:rsidDel="00000000" w:rsidR="00000000" w:rsidRPr="00000000">
              <w:rPr>
                <w:rtl w:val="0"/>
              </w:rPr>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1">
            <w:pPr>
              <w:spacing w:after="60" w:before="60" w:line="240" w:lineRule="auto"/>
              <w:ind w:left="57" w:right="57" w:firstLine="0"/>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0D2">
            <w:pPr>
              <w:spacing w:after="60" w:before="60" w:line="240" w:lineRule="auto"/>
              <w:ind w:left="0" w:right="57" w:firstLine="0"/>
              <w:rPr>
                <w:color w:val="000000"/>
              </w:rPr>
            </w:pPr>
            <w:r w:rsidDel="00000000" w:rsidR="00000000" w:rsidRPr="00000000">
              <w:rPr>
                <w:rtl w:val="0"/>
              </w:rPr>
            </w:r>
          </w:p>
          <w:p w:rsidR="00000000" w:rsidDel="00000000" w:rsidP="00000000" w:rsidRDefault="00000000" w:rsidRPr="00000000" w14:paraId="000000D3">
            <w:pPr>
              <w:spacing w:after="60" w:before="60" w:line="240" w:lineRule="auto"/>
              <w:ind w:left="0" w:right="57" w:firstLine="0"/>
              <w:rPr>
                <w:color w:val="000000"/>
              </w:rPr>
            </w:pPr>
            <w:r w:rsidDel="00000000" w:rsidR="00000000" w:rsidRPr="00000000">
              <w:rPr>
                <w:color w:val="000000"/>
                <w:rtl w:val="0"/>
              </w:rPr>
              <w:t xml:space="preserve">Summer 2024 reading outcomes at KS2:</w:t>
            </w:r>
          </w:p>
          <w:p w:rsidR="00000000" w:rsidDel="00000000" w:rsidP="00000000" w:rsidRDefault="00000000" w:rsidRPr="00000000" w14:paraId="000000D4">
            <w:pPr>
              <w:spacing w:after="60" w:before="60" w:line="240" w:lineRule="auto"/>
              <w:ind w:left="0" w:right="57" w:firstLine="0"/>
              <w:rPr>
                <w:color w:val="000000"/>
              </w:rPr>
            </w:pPr>
            <w:r w:rsidDel="00000000" w:rsidR="00000000" w:rsidRPr="00000000">
              <w:rPr>
                <w:rtl w:val="0"/>
              </w:rPr>
            </w:r>
          </w:p>
          <w:sdt>
            <w:sdtPr>
              <w:lock w:val="contentLocked"/>
              <w:tag w:val="goog_rdk_0"/>
            </w:sdtPr>
            <w:sdtContent>
              <w:tbl>
                <w:tblPr>
                  <w:tblStyle w:val="Table11"/>
                  <w:tblW w:w="92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9.25"/>
                  <w:gridCol w:w="2319.25"/>
                  <w:gridCol w:w="2319.25"/>
                  <w:gridCol w:w="2319.25"/>
                  <w:tblGridChange w:id="0">
                    <w:tblGrid>
                      <w:gridCol w:w="2319.25"/>
                      <w:gridCol w:w="2319.25"/>
                      <w:gridCol w:w="2319.25"/>
                      <w:gridCol w:w="231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Whole cohort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PP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Non PP pupils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Pupils at the expected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68%</w:t>
                      </w:r>
                    </w:p>
                  </w:tc>
                </w:tr>
              </w:tbl>
            </w:sdtContent>
          </w:sdt>
          <w:p w:rsidR="00000000" w:rsidDel="00000000" w:rsidP="00000000" w:rsidRDefault="00000000" w:rsidRPr="00000000" w14:paraId="000000DD">
            <w:pPr>
              <w:spacing w:after="200" w:line="276" w:lineRule="auto"/>
              <w:rPr>
                <w:color w:val="000000"/>
              </w:rPr>
            </w:pPr>
            <w:r w:rsidDel="00000000" w:rsidR="00000000" w:rsidRPr="00000000">
              <w:rPr>
                <w:rtl w:val="0"/>
              </w:rPr>
            </w:r>
          </w:p>
          <w:p w:rsidR="00000000" w:rsidDel="00000000" w:rsidP="00000000" w:rsidRDefault="00000000" w:rsidRPr="00000000" w14:paraId="000000DE">
            <w:pPr>
              <w:spacing w:after="200" w:line="276" w:lineRule="auto"/>
              <w:rPr>
                <w:color w:val="000000"/>
              </w:rPr>
            </w:pPr>
            <w:r w:rsidDel="00000000" w:rsidR="00000000" w:rsidRPr="00000000">
              <w:rPr>
                <w:color w:val="000000"/>
                <w:rtl w:val="0"/>
              </w:rPr>
              <w:t xml:space="preserve">Whilst outcomes at KS2 for reading have not improved from 2023, all quality assurance visits (including Ofsted) have validated that pupils receive a high quality of education in this area and leaders are confident that outcomes in reading at the end of KS2 will improve in line with wider benchmarking data (shown below).</w:t>
            </w:r>
          </w:p>
          <w:tbl>
            <w:tblPr>
              <w:tblStyle w:val="Table12"/>
              <w:tblW w:w="6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845"/>
              <w:gridCol w:w="3180"/>
              <w:tblGridChange w:id="0">
                <w:tblGrid>
                  <w:gridCol w:w="1410"/>
                  <w:gridCol w:w="1845"/>
                  <w:gridCol w:w="3180"/>
                </w:tblGrid>
              </w:tblGridChange>
            </w:tblGrid>
            <w:tr>
              <w:trPr>
                <w:cantSplit w:val="0"/>
                <w:tblHeader w:val="0"/>
              </w:trPr>
              <w:tc>
                <w:tcPr/>
                <w:p w:rsidR="00000000" w:rsidDel="00000000" w:rsidP="00000000" w:rsidRDefault="00000000" w:rsidRPr="00000000" w14:paraId="000000DF">
                  <w:pPr>
                    <w:rPr>
                      <w:color w:val="000000"/>
                      <w:sz w:val="24"/>
                      <w:szCs w:val="24"/>
                    </w:rPr>
                  </w:pPr>
                  <w:r w:rsidDel="00000000" w:rsidR="00000000" w:rsidRPr="00000000">
                    <w:rPr>
                      <w:color w:val="000000"/>
                      <w:sz w:val="24"/>
                      <w:szCs w:val="24"/>
                      <w:rtl w:val="0"/>
                    </w:rPr>
                    <w:t xml:space="preserve">Benchmark</w:t>
                  </w:r>
                </w:p>
              </w:tc>
              <w:tc>
                <w:tcPr/>
                <w:p w:rsidR="00000000" w:rsidDel="00000000" w:rsidP="00000000" w:rsidRDefault="00000000" w:rsidRPr="00000000" w14:paraId="000000E0">
                  <w:pPr>
                    <w:rPr>
                      <w:color w:val="000000"/>
                      <w:sz w:val="24"/>
                      <w:szCs w:val="24"/>
                    </w:rPr>
                  </w:pPr>
                  <w:r w:rsidDel="00000000" w:rsidR="00000000" w:rsidRPr="00000000">
                    <w:rPr>
                      <w:color w:val="000000"/>
                      <w:sz w:val="24"/>
                      <w:szCs w:val="24"/>
                      <w:rtl w:val="0"/>
                    </w:rPr>
                    <w:t xml:space="preserve">Summer 2023</w:t>
                  </w:r>
                </w:p>
              </w:tc>
              <w:tc>
                <w:tcPr/>
                <w:p w:rsidR="00000000" w:rsidDel="00000000" w:rsidP="00000000" w:rsidRDefault="00000000" w:rsidRPr="00000000" w14:paraId="000000E1">
                  <w:pPr>
                    <w:rPr>
                      <w:color w:val="000000"/>
                      <w:sz w:val="24"/>
                      <w:szCs w:val="24"/>
                    </w:rPr>
                  </w:pPr>
                  <w:r w:rsidDel="00000000" w:rsidR="00000000" w:rsidRPr="00000000">
                    <w:rPr>
                      <w:color w:val="000000"/>
                      <w:sz w:val="24"/>
                      <w:szCs w:val="24"/>
                      <w:rtl w:val="0"/>
                    </w:rPr>
                    <w:t xml:space="preserve">Summer 2024</w:t>
                  </w:r>
                </w:p>
              </w:tc>
            </w:tr>
            <w:tr>
              <w:trPr>
                <w:cantSplit w:val="0"/>
                <w:tblHeader w:val="0"/>
              </w:trPr>
              <w:tc>
                <w:tcPr/>
                <w:p w:rsidR="00000000" w:rsidDel="00000000" w:rsidP="00000000" w:rsidRDefault="00000000" w:rsidRPr="00000000" w14:paraId="000000E2">
                  <w:pPr>
                    <w:rPr>
                      <w:color w:val="000000"/>
                      <w:sz w:val="24"/>
                      <w:szCs w:val="24"/>
                    </w:rPr>
                  </w:pPr>
                  <w:r w:rsidDel="00000000" w:rsidR="00000000" w:rsidRPr="00000000">
                    <w:rPr>
                      <w:color w:val="000000"/>
                      <w:sz w:val="24"/>
                      <w:szCs w:val="24"/>
                      <w:rtl w:val="0"/>
                    </w:rPr>
                    <w:t xml:space="preserve">GLD</w:t>
                  </w:r>
                </w:p>
              </w:tc>
              <w:tc>
                <w:tcPr/>
                <w:p w:rsidR="00000000" w:rsidDel="00000000" w:rsidP="00000000" w:rsidRDefault="00000000" w:rsidRPr="00000000" w14:paraId="000000E3">
                  <w:pPr>
                    <w:rPr>
                      <w:color w:val="000000"/>
                      <w:sz w:val="24"/>
                      <w:szCs w:val="24"/>
                    </w:rPr>
                  </w:pPr>
                  <w:r w:rsidDel="00000000" w:rsidR="00000000" w:rsidRPr="00000000">
                    <w:rPr>
                      <w:color w:val="000000"/>
                      <w:sz w:val="24"/>
                      <w:szCs w:val="24"/>
                      <w:rtl w:val="0"/>
                    </w:rPr>
                    <w:t xml:space="preserve">61%</w:t>
                  </w:r>
                </w:p>
              </w:tc>
              <w:tc>
                <w:tcPr/>
                <w:p w:rsidR="00000000" w:rsidDel="00000000" w:rsidP="00000000" w:rsidRDefault="00000000" w:rsidRPr="00000000" w14:paraId="000000E4">
                  <w:pPr>
                    <w:rPr>
                      <w:color w:val="538135"/>
                      <w:sz w:val="24"/>
                      <w:szCs w:val="24"/>
                    </w:rPr>
                  </w:pPr>
                  <w:sdt>
                    <w:sdtPr>
                      <w:tag w:val="goog_rdk_1"/>
                    </w:sdtPr>
                    <w:sdtContent>
                      <w:r w:rsidDel="00000000" w:rsidR="00000000" w:rsidRPr="00000000">
                        <w:rPr>
                          <w:rFonts w:ascii="Arial Unicode MS" w:cs="Arial Unicode MS" w:eastAsia="Arial Unicode MS" w:hAnsi="Arial Unicode MS"/>
                          <w:color w:val="538135"/>
                          <w:sz w:val="24"/>
                          <w:szCs w:val="24"/>
                          <w:rtl w:val="0"/>
                        </w:rPr>
                        <w:t xml:space="preserve">67% (national 68%) ↑</w:t>
                      </w:r>
                    </w:sdtContent>
                  </w:sdt>
                </w:p>
              </w:tc>
            </w:tr>
            <w:tr>
              <w:trPr>
                <w:cantSplit w:val="0"/>
                <w:tblHeader w:val="0"/>
              </w:trPr>
              <w:tc>
                <w:tcPr/>
                <w:p w:rsidR="00000000" w:rsidDel="00000000" w:rsidP="00000000" w:rsidRDefault="00000000" w:rsidRPr="00000000" w14:paraId="000000E5">
                  <w:pPr>
                    <w:rPr>
                      <w:color w:val="000000"/>
                      <w:sz w:val="24"/>
                      <w:szCs w:val="24"/>
                    </w:rPr>
                  </w:pPr>
                  <w:r w:rsidDel="00000000" w:rsidR="00000000" w:rsidRPr="00000000">
                    <w:rPr>
                      <w:color w:val="000000"/>
                      <w:sz w:val="24"/>
                      <w:szCs w:val="24"/>
                      <w:rtl w:val="0"/>
                    </w:rPr>
                    <w:t xml:space="preserve">PSC</w:t>
                  </w:r>
                </w:p>
              </w:tc>
              <w:tc>
                <w:tcPr/>
                <w:p w:rsidR="00000000" w:rsidDel="00000000" w:rsidP="00000000" w:rsidRDefault="00000000" w:rsidRPr="00000000" w14:paraId="000000E6">
                  <w:pPr>
                    <w:rPr>
                      <w:color w:val="000000"/>
                      <w:sz w:val="24"/>
                      <w:szCs w:val="24"/>
                    </w:rPr>
                  </w:pPr>
                  <w:r w:rsidDel="00000000" w:rsidR="00000000" w:rsidRPr="00000000">
                    <w:rPr>
                      <w:color w:val="000000"/>
                      <w:sz w:val="24"/>
                      <w:szCs w:val="24"/>
                      <w:rtl w:val="0"/>
                    </w:rPr>
                    <w:t xml:space="preserve">61%</w:t>
                  </w:r>
                </w:p>
              </w:tc>
              <w:tc>
                <w:tcPr/>
                <w:p w:rsidR="00000000" w:rsidDel="00000000" w:rsidP="00000000" w:rsidRDefault="00000000" w:rsidRPr="00000000" w14:paraId="000000E7">
                  <w:pPr>
                    <w:rPr>
                      <w:color w:val="538135"/>
                      <w:sz w:val="24"/>
                      <w:szCs w:val="24"/>
                    </w:rPr>
                  </w:pPr>
                  <w:sdt>
                    <w:sdtPr>
                      <w:tag w:val="goog_rdk_2"/>
                    </w:sdtPr>
                    <w:sdtContent>
                      <w:r w:rsidDel="00000000" w:rsidR="00000000" w:rsidRPr="00000000">
                        <w:rPr>
                          <w:rFonts w:ascii="Arial Unicode MS" w:cs="Arial Unicode MS" w:eastAsia="Arial Unicode MS" w:hAnsi="Arial Unicode MS"/>
                          <w:color w:val="538135"/>
                          <w:sz w:val="24"/>
                          <w:szCs w:val="24"/>
                          <w:rtl w:val="0"/>
                        </w:rPr>
                        <w:t xml:space="preserve">79% (national 80%) ↑</w:t>
                      </w:r>
                    </w:sdtContent>
                  </w:sdt>
                </w:p>
              </w:tc>
            </w:tr>
            <w:tr>
              <w:trPr>
                <w:cantSplit w:val="0"/>
                <w:tblHeader w:val="0"/>
              </w:trPr>
              <w:tc>
                <w:tcPr/>
                <w:p w:rsidR="00000000" w:rsidDel="00000000" w:rsidP="00000000" w:rsidRDefault="00000000" w:rsidRPr="00000000" w14:paraId="000000E8">
                  <w:pPr>
                    <w:rPr>
                      <w:color w:val="000000"/>
                      <w:sz w:val="24"/>
                      <w:szCs w:val="24"/>
                    </w:rPr>
                  </w:pPr>
                  <w:r w:rsidDel="00000000" w:rsidR="00000000" w:rsidRPr="00000000">
                    <w:rPr>
                      <w:color w:val="000000"/>
                      <w:sz w:val="24"/>
                      <w:szCs w:val="24"/>
                      <w:rtl w:val="0"/>
                    </w:rPr>
                    <w:t xml:space="preserve">MTC</w:t>
                  </w:r>
                </w:p>
              </w:tc>
              <w:tc>
                <w:tcPr/>
                <w:p w:rsidR="00000000" w:rsidDel="00000000" w:rsidP="00000000" w:rsidRDefault="00000000" w:rsidRPr="00000000" w14:paraId="000000E9">
                  <w:pPr>
                    <w:rPr>
                      <w:color w:val="000000"/>
                      <w:sz w:val="24"/>
                      <w:szCs w:val="24"/>
                    </w:rPr>
                  </w:pPr>
                  <w:r w:rsidDel="00000000" w:rsidR="00000000" w:rsidRPr="00000000">
                    <w:rPr>
                      <w:color w:val="000000"/>
                      <w:sz w:val="24"/>
                      <w:szCs w:val="24"/>
                      <w:rtl w:val="0"/>
                    </w:rPr>
                    <w:t xml:space="preserve">10%</w:t>
                  </w:r>
                </w:p>
              </w:tc>
              <w:tc>
                <w:tcPr/>
                <w:p w:rsidR="00000000" w:rsidDel="00000000" w:rsidP="00000000" w:rsidRDefault="00000000" w:rsidRPr="00000000" w14:paraId="000000EA">
                  <w:pPr>
                    <w:rPr>
                      <w:color w:val="000000"/>
                      <w:sz w:val="24"/>
                      <w:szCs w:val="24"/>
                    </w:rPr>
                  </w:pPr>
                  <w:r w:rsidDel="00000000" w:rsidR="00000000" w:rsidRPr="00000000">
                    <w:rPr>
                      <w:color w:val="000000"/>
                      <w:sz w:val="24"/>
                      <w:szCs w:val="24"/>
                      <w:rtl w:val="0"/>
                    </w:rPr>
                    <w:t xml:space="preserve">10% =</w:t>
                  </w:r>
                </w:p>
              </w:tc>
            </w:tr>
            <w:tr>
              <w:trPr>
                <w:cantSplit w:val="0"/>
                <w:tblHeader w:val="0"/>
              </w:trPr>
              <w:tc>
                <w:tcPr/>
                <w:p w:rsidR="00000000" w:rsidDel="00000000" w:rsidP="00000000" w:rsidRDefault="00000000" w:rsidRPr="00000000" w14:paraId="000000EB">
                  <w:pPr>
                    <w:rPr>
                      <w:color w:val="000000"/>
                      <w:sz w:val="24"/>
                      <w:szCs w:val="24"/>
                    </w:rPr>
                  </w:pPr>
                  <w:r w:rsidDel="00000000" w:rsidR="00000000" w:rsidRPr="00000000">
                    <w:rPr>
                      <w:color w:val="000000"/>
                      <w:sz w:val="24"/>
                      <w:szCs w:val="24"/>
                      <w:rtl w:val="0"/>
                    </w:rPr>
                    <w:t xml:space="preserve">KS2 Reading</w:t>
                  </w:r>
                </w:p>
              </w:tc>
              <w:tc>
                <w:tcPr/>
                <w:p w:rsidR="00000000" w:rsidDel="00000000" w:rsidP="00000000" w:rsidRDefault="00000000" w:rsidRPr="00000000" w14:paraId="000000EC">
                  <w:pPr>
                    <w:rPr>
                      <w:color w:val="000000"/>
                      <w:sz w:val="24"/>
                      <w:szCs w:val="24"/>
                    </w:rPr>
                  </w:pPr>
                  <w:r w:rsidDel="00000000" w:rsidR="00000000" w:rsidRPr="00000000">
                    <w:rPr>
                      <w:color w:val="000000"/>
                      <w:sz w:val="24"/>
                      <w:szCs w:val="24"/>
                      <w:rtl w:val="0"/>
                    </w:rPr>
                    <w:t xml:space="preserve">59%</w:t>
                  </w:r>
                </w:p>
              </w:tc>
              <w:tc>
                <w:tcPr/>
                <w:p w:rsidR="00000000" w:rsidDel="00000000" w:rsidP="00000000" w:rsidRDefault="00000000" w:rsidRPr="00000000" w14:paraId="000000ED">
                  <w:pPr>
                    <w:rPr>
                      <w:color w:val="000000"/>
                      <w:sz w:val="24"/>
                      <w:szCs w:val="24"/>
                    </w:rPr>
                  </w:pPr>
                  <w:r w:rsidDel="00000000" w:rsidR="00000000" w:rsidRPr="00000000">
                    <w:rPr>
                      <w:color w:val="000000"/>
                      <w:sz w:val="24"/>
                      <w:szCs w:val="24"/>
                      <w:rtl w:val="0"/>
                    </w:rPr>
                    <w:t xml:space="preserve">58% (national 74%) =</w:t>
                  </w:r>
                </w:p>
              </w:tc>
            </w:tr>
            <w:tr>
              <w:trPr>
                <w:cantSplit w:val="0"/>
                <w:tblHeader w:val="0"/>
              </w:trPr>
              <w:tc>
                <w:tcPr/>
                <w:p w:rsidR="00000000" w:rsidDel="00000000" w:rsidP="00000000" w:rsidRDefault="00000000" w:rsidRPr="00000000" w14:paraId="000000EE">
                  <w:pPr>
                    <w:rPr>
                      <w:color w:val="000000"/>
                      <w:sz w:val="24"/>
                      <w:szCs w:val="24"/>
                    </w:rPr>
                  </w:pPr>
                  <w:r w:rsidDel="00000000" w:rsidR="00000000" w:rsidRPr="00000000">
                    <w:rPr>
                      <w:color w:val="000000"/>
                      <w:sz w:val="24"/>
                      <w:szCs w:val="24"/>
                      <w:rtl w:val="0"/>
                    </w:rPr>
                    <w:t xml:space="preserve">KS2 Writing*</w:t>
                  </w:r>
                </w:p>
              </w:tc>
              <w:tc>
                <w:tcPr/>
                <w:p w:rsidR="00000000" w:rsidDel="00000000" w:rsidP="00000000" w:rsidRDefault="00000000" w:rsidRPr="00000000" w14:paraId="000000EF">
                  <w:pPr>
                    <w:rPr>
                      <w:color w:val="000000"/>
                      <w:sz w:val="24"/>
                      <w:szCs w:val="24"/>
                    </w:rPr>
                  </w:pPr>
                  <w:r w:rsidDel="00000000" w:rsidR="00000000" w:rsidRPr="00000000">
                    <w:rPr>
                      <w:color w:val="000000"/>
                      <w:sz w:val="24"/>
                      <w:szCs w:val="24"/>
                      <w:rtl w:val="0"/>
                    </w:rPr>
                    <w:t xml:space="preserve">59%</w:t>
                  </w:r>
                </w:p>
              </w:tc>
              <w:tc>
                <w:tcPr/>
                <w:p w:rsidR="00000000" w:rsidDel="00000000" w:rsidP="00000000" w:rsidRDefault="00000000" w:rsidRPr="00000000" w14:paraId="000000F0">
                  <w:pPr>
                    <w:rPr>
                      <w:color w:val="538135"/>
                      <w:sz w:val="24"/>
                      <w:szCs w:val="24"/>
                    </w:rPr>
                  </w:pPr>
                  <w:sdt>
                    <w:sdtPr>
                      <w:tag w:val="goog_rdk_3"/>
                    </w:sdtPr>
                    <w:sdtContent>
                      <w:r w:rsidDel="00000000" w:rsidR="00000000" w:rsidRPr="00000000">
                        <w:rPr>
                          <w:rFonts w:ascii="Arial Unicode MS" w:cs="Arial Unicode MS" w:eastAsia="Arial Unicode MS" w:hAnsi="Arial Unicode MS"/>
                          <w:color w:val="538135"/>
                          <w:sz w:val="24"/>
                          <w:szCs w:val="24"/>
                          <w:rtl w:val="0"/>
                        </w:rPr>
                        <w:t xml:space="preserve">72% (national 72%) ↑</w:t>
                      </w:r>
                    </w:sdtContent>
                  </w:sdt>
                </w:p>
              </w:tc>
            </w:tr>
            <w:tr>
              <w:trPr>
                <w:cantSplit w:val="0"/>
                <w:tblHeader w:val="0"/>
              </w:trPr>
              <w:tc>
                <w:tcPr/>
                <w:p w:rsidR="00000000" w:rsidDel="00000000" w:rsidP="00000000" w:rsidRDefault="00000000" w:rsidRPr="00000000" w14:paraId="000000F1">
                  <w:pPr>
                    <w:rPr>
                      <w:color w:val="000000"/>
                      <w:sz w:val="24"/>
                      <w:szCs w:val="24"/>
                    </w:rPr>
                  </w:pPr>
                  <w:r w:rsidDel="00000000" w:rsidR="00000000" w:rsidRPr="00000000">
                    <w:rPr>
                      <w:color w:val="000000"/>
                      <w:sz w:val="24"/>
                      <w:szCs w:val="24"/>
                      <w:rtl w:val="0"/>
                    </w:rPr>
                    <w:t xml:space="preserve">KS2 Maths</w:t>
                  </w:r>
                </w:p>
              </w:tc>
              <w:tc>
                <w:tcPr/>
                <w:p w:rsidR="00000000" w:rsidDel="00000000" w:rsidP="00000000" w:rsidRDefault="00000000" w:rsidRPr="00000000" w14:paraId="000000F2">
                  <w:pPr>
                    <w:rPr>
                      <w:color w:val="000000"/>
                      <w:sz w:val="24"/>
                      <w:szCs w:val="24"/>
                    </w:rPr>
                  </w:pPr>
                  <w:r w:rsidDel="00000000" w:rsidR="00000000" w:rsidRPr="00000000">
                    <w:rPr>
                      <w:color w:val="000000"/>
                      <w:sz w:val="24"/>
                      <w:szCs w:val="24"/>
                      <w:rtl w:val="0"/>
                    </w:rPr>
                    <w:t xml:space="preserve">61%</w:t>
                  </w:r>
                </w:p>
              </w:tc>
              <w:tc>
                <w:tcPr/>
                <w:p w:rsidR="00000000" w:rsidDel="00000000" w:rsidP="00000000" w:rsidRDefault="00000000" w:rsidRPr="00000000" w14:paraId="000000F3">
                  <w:pPr>
                    <w:rPr>
                      <w:color w:val="538135"/>
                      <w:sz w:val="24"/>
                      <w:szCs w:val="24"/>
                    </w:rPr>
                  </w:pPr>
                  <w:sdt>
                    <w:sdtPr>
                      <w:tag w:val="goog_rdk_4"/>
                    </w:sdtPr>
                    <w:sdtContent>
                      <w:r w:rsidDel="00000000" w:rsidR="00000000" w:rsidRPr="00000000">
                        <w:rPr>
                          <w:rFonts w:ascii="Arial Unicode MS" w:cs="Arial Unicode MS" w:eastAsia="Arial Unicode MS" w:hAnsi="Arial Unicode MS"/>
                          <w:color w:val="538135"/>
                          <w:sz w:val="24"/>
                          <w:szCs w:val="24"/>
                          <w:rtl w:val="0"/>
                        </w:rPr>
                        <w:t xml:space="preserve">73% (national 73%) ↑</w:t>
                      </w:r>
                    </w:sdtContent>
                  </w:sdt>
                </w:p>
              </w:tc>
            </w:tr>
            <w:tr>
              <w:trPr>
                <w:cantSplit w:val="0"/>
                <w:tblHeader w:val="0"/>
              </w:trPr>
              <w:tc>
                <w:tcPr/>
                <w:p w:rsidR="00000000" w:rsidDel="00000000" w:rsidP="00000000" w:rsidRDefault="00000000" w:rsidRPr="00000000" w14:paraId="000000F4">
                  <w:pPr>
                    <w:rPr>
                      <w:color w:val="000000"/>
                      <w:sz w:val="24"/>
                      <w:szCs w:val="24"/>
                    </w:rPr>
                  </w:pPr>
                  <w:r w:rsidDel="00000000" w:rsidR="00000000" w:rsidRPr="00000000">
                    <w:rPr>
                      <w:color w:val="000000"/>
                      <w:sz w:val="24"/>
                      <w:szCs w:val="24"/>
                      <w:rtl w:val="0"/>
                    </w:rPr>
                    <w:t xml:space="preserve">KS2 GPS</w:t>
                  </w:r>
                </w:p>
              </w:tc>
              <w:tc>
                <w:tcPr/>
                <w:p w:rsidR="00000000" w:rsidDel="00000000" w:rsidP="00000000" w:rsidRDefault="00000000" w:rsidRPr="00000000" w14:paraId="000000F5">
                  <w:pPr>
                    <w:rPr>
                      <w:color w:val="000000"/>
                      <w:sz w:val="24"/>
                      <w:szCs w:val="24"/>
                    </w:rPr>
                  </w:pPr>
                  <w:r w:rsidDel="00000000" w:rsidR="00000000" w:rsidRPr="00000000">
                    <w:rPr>
                      <w:color w:val="000000"/>
                      <w:sz w:val="24"/>
                      <w:szCs w:val="24"/>
                      <w:rtl w:val="0"/>
                    </w:rPr>
                    <w:t xml:space="preserve">61%</w:t>
                  </w:r>
                </w:p>
              </w:tc>
              <w:tc>
                <w:tcPr/>
                <w:p w:rsidR="00000000" w:rsidDel="00000000" w:rsidP="00000000" w:rsidRDefault="00000000" w:rsidRPr="00000000" w14:paraId="000000F6">
                  <w:pPr>
                    <w:rPr>
                      <w:color w:val="538135"/>
                      <w:sz w:val="24"/>
                      <w:szCs w:val="24"/>
                    </w:rPr>
                  </w:pPr>
                  <w:sdt>
                    <w:sdtPr>
                      <w:tag w:val="goog_rdk_5"/>
                    </w:sdtPr>
                    <w:sdtContent>
                      <w:r w:rsidDel="00000000" w:rsidR="00000000" w:rsidRPr="00000000">
                        <w:rPr>
                          <w:rFonts w:ascii="Arial Unicode MS" w:cs="Arial Unicode MS" w:eastAsia="Arial Unicode MS" w:hAnsi="Arial Unicode MS"/>
                          <w:color w:val="538135"/>
                          <w:sz w:val="24"/>
                          <w:szCs w:val="24"/>
                          <w:rtl w:val="0"/>
                        </w:rPr>
                        <w:t xml:space="preserve">73% (national 72%) ↑</w:t>
                      </w:r>
                    </w:sdtContent>
                  </w:sdt>
                </w:p>
              </w:tc>
            </w:tr>
          </w:tbl>
          <w:p w:rsidR="00000000" w:rsidDel="00000000" w:rsidP="00000000" w:rsidRDefault="00000000" w:rsidRPr="00000000" w14:paraId="000000F7">
            <w:pPr>
              <w:spacing w:after="200" w:line="276" w:lineRule="auto"/>
              <w:rPr>
                <w:color w:val="000000"/>
                <w:sz w:val="20"/>
                <w:szCs w:val="20"/>
              </w:rPr>
            </w:pPr>
            <w:r w:rsidDel="00000000" w:rsidR="00000000" w:rsidRPr="00000000">
              <w:rPr>
                <w:color w:val="000000"/>
                <w:sz w:val="20"/>
                <w:szCs w:val="20"/>
                <w:rtl w:val="0"/>
              </w:rPr>
              <w:t xml:space="preserve">* LA moderated</w:t>
            </w:r>
          </w:p>
          <w:p w:rsidR="00000000" w:rsidDel="00000000" w:rsidP="00000000" w:rsidRDefault="00000000" w:rsidRPr="00000000" w14:paraId="000000F8">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9">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A">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B">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C">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D">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E">
            <w:pPr>
              <w:spacing w:after="200" w:line="276" w:lineRule="auto"/>
              <w:rPr>
                <w:color w:val="000000"/>
                <w:sz w:val="20"/>
                <w:szCs w:val="20"/>
              </w:rPr>
            </w:pPr>
            <w:r w:rsidDel="00000000" w:rsidR="00000000" w:rsidRPr="00000000">
              <w:rPr>
                <w:rtl w:val="0"/>
              </w:rPr>
            </w:r>
          </w:p>
          <w:p w:rsidR="00000000" w:rsidDel="00000000" w:rsidP="00000000" w:rsidRDefault="00000000" w:rsidRPr="00000000" w14:paraId="000000FF">
            <w:pPr>
              <w:spacing w:after="200" w:line="276" w:lineRule="auto"/>
              <w:rPr>
                <w:color w:val="000000"/>
                <w:sz w:val="20"/>
                <w:szCs w:val="20"/>
              </w:rPr>
            </w:pPr>
            <w:r w:rsidDel="00000000" w:rsidR="00000000" w:rsidRPr="00000000">
              <w:rPr>
                <w:rtl w:val="0"/>
              </w:rPr>
            </w:r>
          </w:p>
        </w:tc>
      </w:tr>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Intended outcome 4</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KS2 writing and maths outcomes in 2023/24 show that more than 80% of disadvantaged pupils met the expected standard.</w:t>
            </w:r>
          </w:p>
        </w:tc>
      </w:tr>
      <w:tr>
        <w:trPr>
          <w:cantSplit w:val="0"/>
          <w:trHeight w:val="1108"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KS2 writing and maths outcomes in 2023/24 show that more than 80% of disadvantaged pupils met the expected standard.</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4">
            <w:pPr>
              <w:spacing w:after="60" w:before="60" w:line="240" w:lineRule="auto"/>
              <w:ind w:right="57"/>
              <w:rPr>
                <w:color w:val="000000"/>
              </w:rPr>
            </w:pPr>
            <w:r w:rsidDel="00000000" w:rsidR="00000000" w:rsidRPr="00000000">
              <w:rPr>
                <w:color w:val="000000"/>
                <w:rtl w:val="0"/>
              </w:rPr>
              <w:t xml:space="preserve">Demonstrable impact on outcomes in maths and writing. Outcome now in line with national averages.</w:t>
            </w:r>
          </w:p>
          <w:p w:rsidR="00000000" w:rsidDel="00000000" w:rsidP="00000000" w:rsidRDefault="00000000" w:rsidRPr="00000000" w14:paraId="00000105">
            <w:pPr>
              <w:spacing w:after="60" w:before="60" w:line="240" w:lineRule="auto"/>
              <w:ind w:right="57"/>
              <w:rPr>
                <w:color w:val="000000"/>
              </w:rPr>
            </w:pPr>
            <w:r w:rsidDel="00000000" w:rsidR="00000000" w:rsidRPr="00000000">
              <w:rPr>
                <w:color w:val="000000"/>
              </w:rPr>
              <w:drawing>
                <wp:inline distB="114300" distT="114300" distL="114300" distR="114300">
                  <wp:extent cx="4200525" cy="2076450"/>
                  <wp:effectExtent b="0" l="0" r="0" t="0"/>
                  <wp:docPr id="4"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4200525" cy="2076450"/>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spacing w:after="60" w:before="60" w:line="240" w:lineRule="auto"/>
              <w:ind w:right="57"/>
              <w:rPr>
                <w:color w:val="000000"/>
              </w:rPr>
            </w:pPr>
            <w:r w:rsidDel="00000000" w:rsidR="00000000" w:rsidRPr="00000000">
              <w:rPr>
                <w:color w:val="000000"/>
                <w:rtl w:val="0"/>
              </w:rPr>
              <w:t xml:space="preserve">Summer 2024 writing outcomes at KS2:</w:t>
            </w:r>
          </w:p>
          <w:p w:rsidR="00000000" w:rsidDel="00000000" w:rsidP="00000000" w:rsidRDefault="00000000" w:rsidRPr="00000000" w14:paraId="00000107">
            <w:pPr>
              <w:spacing w:after="60" w:before="60" w:line="240" w:lineRule="auto"/>
              <w:ind w:right="57"/>
              <w:rPr>
                <w:color w:val="000000"/>
              </w:rPr>
            </w:pPr>
            <w:r w:rsidDel="00000000" w:rsidR="00000000" w:rsidRPr="00000000">
              <w:rPr>
                <w:rtl w:val="0"/>
              </w:rPr>
            </w:r>
          </w:p>
          <w:sdt>
            <w:sdtPr>
              <w:lock w:val="contentLocked"/>
              <w:tag w:val="goog_rdk_6"/>
            </w:sdtPr>
            <w:sdtContent>
              <w:tbl>
                <w:tblPr>
                  <w:tblStyle w:val="Table13"/>
                  <w:tblW w:w="92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9.25"/>
                  <w:gridCol w:w="2319.25"/>
                  <w:gridCol w:w="2319.25"/>
                  <w:gridCol w:w="2319.25"/>
                  <w:tblGridChange w:id="0">
                    <w:tblGrid>
                      <w:gridCol w:w="2319.25"/>
                      <w:gridCol w:w="2319.25"/>
                      <w:gridCol w:w="2319.25"/>
                      <w:gridCol w:w="231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color w:val="000000"/>
                        </w:rPr>
                      </w:pPr>
                      <w:r w:rsidDel="00000000" w:rsidR="00000000" w:rsidRPr="00000000">
                        <w:rPr>
                          <w:color w:val="000000"/>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color w:val="000000"/>
                        </w:rPr>
                      </w:pPr>
                      <w:r w:rsidDel="00000000" w:rsidR="00000000" w:rsidRPr="00000000">
                        <w:rPr>
                          <w:color w:val="000000"/>
                          <w:rtl w:val="0"/>
                        </w:rPr>
                        <w:t xml:space="preserve">Whole cohort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color w:val="000000"/>
                        </w:rPr>
                      </w:pPr>
                      <w:r w:rsidDel="00000000" w:rsidR="00000000" w:rsidRPr="00000000">
                        <w:rPr>
                          <w:color w:val="000000"/>
                          <w:rtl w:val="0"/>
                        </w:rPr>
                        <w:t xml:space="preserve">PP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color w:val="000000"/>
                        </w:rPr>
                      </w:pPr>
                      <w:r w:rsidDel="00000000" w:rsidR="00000000" w:rsidRPr="00000000">
                        <w:rPr>
                          <w:color w:val="000000"/>
                          <w:rtl w:val="0"/>
                        </w:rPr>
                        <w:t xml:space="preserve">Non PP pupils</w:t>
                      </w:r>
                    </w:p>
                  </w:tc>
                </w:tr>
                <w:tr>
                  <w:trPr>
                    <w:cantSplit w:val="0"/>
                    <w:trHeight w:val="58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color w:val="000000"/>
                        </w:rPr>
                      </w:pPr>
                      <w:r w:rsidDel="00000000" w:rsidR="00000000" w:rsidRPr="00000000">
                        <w:rPr>
                          <w:color w:val="000000"/>
                          <w:rtl w:val="0"/>
                        </w:rPr>
                        <w:t xml:space="preserve">Pupils at the expected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color w:val="000000"/>
                        </w:rPr>
                      </w:pPr>
                      <w:r w:rsidDel="00000000" w:rsidR="00000000" w:rsidRPr="00000000">
                        <w:rPr>
                          <w:color w:val="000000"/>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color w:val="000000"/>
                        </w:rPr>
                      </w:pPr>
                      <w:r w:rsidDel="00000000" w:rsidR="00000000" w:rsidRPr="00000000">
                        <w:rPr>
                          <w:color w:val="000000"/>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color w:val="000000"/>
                        </w:rPr>
                      </w:pPr>
                      <w:r w:rsidDel="00000000" w:rsidR="00000000" w:rsidRPr="00000000">
                        <w:rPr>
                          <w:color w:val="000000"/>
                          <w:rtl w:val="0"/>
                        </w:rPr>
                        <w:t xml:space="preserve">73%</w:t>
                      </w:r>
                    </w:p>
                  </w:tc>
                </w:tr>
              </w:tbl>
            </w:sdtContent>
          </w:sdt>
          <w:p w:rsidR="00000000" w:rsidDel="00000000" w:rsidP="00000000" w:rsidRDefault="00000000" w:rsidRPr="00000000" w14:paraId="00000110">
            <w:pPr>
              <w:spacing w:after="60" w:before="60" w:line="240" w:lineRule="auto"/>
              <w:ind w:right="57"/>
              <w:rPr>
                <w:color w:val="000000"/>
              </w:rPr>
            </w:pPr>
            <w:r w:rsidDel="00000000" w:rsidR="00000000" w:rsidRPr="00000000">
              <w:rPr>
                <w:color w:val="000000"/>
                <w:rtl w:val="0"/>
              </w:rPr>
              <w:t xml:space="preserve">Summer 2024 maths outcomes at KS2:</w:t>
            </w:r>
          </w:p>
          <w:p w:rsidR="00000000" w:rsidDel="00000000" w:rsidP="00000000" w:rsidRDefault="00000000" w:rsidRPr="00000000" w14:paraId="00000111">
            <w:pPr>
              <w:spacing w:after="60" w:before="60" w:line="240" w:lineRule="auto"/>
              <w:ind w:right="57"/>
              <w:rPr>
                <w:color w:val="000000"/>
              </w:rPr>
            </w:pPr>
            <w:r w:rsidDel="00000000" w:rsidR="00000000" w:rsidRPr="00000000">
              <w:rPr>
                <w:rtl w:val="0"/>
              </w:rPr>
            </w:r>
          </w:p>
          <w:sdt>
            <w:sdtPr>
              <w:lock w:val="contentLocked"/>
              <w:tag w:val="goog_rdk_7"/>
            </w:sdtPr>
            <w:sdtContent>
              <w:tbl>
                <w:tblPr>
                  <w:tblStyle w:val="Table14"/>
                  <w:tblW w:w="92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9.25"/>
                  <w:gridCol w:w="2319.25"/>
                  <w:gridCol w:w="2319.25"/>
                  <w:gridCol w:w="2319.25"/>
                  <w:tblGridChange w:id="0">
                    <w:tblGrid>
                      <w:gridCol w:w="2319.25"/>
                      <w:gridCol w:w="2319.25"/>
                      <w:gridCol w:w="2319.25"/>
                      <w:gridCol w:w="231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color w:val="000000"/>
                        </w:rPr>
                      </w:pPr>
                      <w:r w:rsidDel="00000000" w:rsidR="00000000" w:rsidRPr="00000000">
                        <w:rPr>
                          <w:color w:val="000000"/>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color w:val="000000"/>
                        </w:rPr>
                      </w:pPr>
                      <w:r w:rsidDel="00000000" w:rsidR="00000000" w:rsidRPr="00000000">
                        <w:rPr>
                          <w:color w:val="000000"/>
                          <w:rtl w:val="0"/>
                        </w:rPr>
                        <w:t xml:space="preserve">Whole cohort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color w:val="000000"/>
                        </w:rPr>
                      </w:pPr>
                      <w:r w:rsidDel="00000000" w:rsidR="00000000" w:rsidRPr="00000000">
                        <w:rPr>
                          <w:color w:val="000000"/>
                          <w:rtl w:val="0"/>
                        </w:rPr>
                        <w:t xml:space="preserve">PP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color w:val="000000"/>
                        </w:rPr>
                      </w:pPr>
                      <w:r w:rsidDel="00000000" w:rsidR="00000000" w:rsidRPr="00000000">
                        <w:rPr>
                          <w:color w:val="000000"/>
                          <w:rtl w:val="0"/>
                        </w:rPr>
                        <w:t xml:space="preserve">Non PP pupils</w:t>
                      </w:r>
                    </w:p>
                  </w:tc>
                </w:tr>
                <w:tr>
                  <w:trPr>
                    <w:cantSplit w:val="0"/>
                    <w:trHeight w:val="58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color w:val="000000"/>
                        </w:rPr>
                      </w:pPr>
                      <w:r w:rsidDel="00000000" w:rsidR="00000000" w:rsidRPr="00000000">
                        <w:rPr>
                          <w:color w:val="000000"/>
                          <w:rtl w:val="0"/>
                        </w:rPr>
                        <w:t xml:space="preserve">Pupils at the expected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color w:val="000000"/>
                        </w:rPr>
                      </w:pPr>
                      <w:r w:rsidDel="00000000" w:rsidR="00000000" w:rsidRPr="00000000">
                        <w:rPr>
                          <w:color w:val="00000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color w:val="000000"/>
                        </w:rPr>
                      </w:pPr>
                      <w:r w:rsidDel="00000000" w:rsidR="00000000" w:rsidRPr="00000000">
                        <w:rPr>
                          <w:color w:val="000000"/>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color w:val="000000"/>
                        </w:rPr>
                      </w:pPr>
                      <w:r w:rsidDel="00000000" w:rsidR="00000000" w:rsidRPr="00000000">
                        <w:rPr>
                          <w:color w:val="000000"/>
                          <w:rtl w:val="0"/>
                        </w:rPr>
                        <w:t xml:space="preserve">87%</w:t>
                      </w:r>
                    </w:p>
                  </w:tc>
                </w:tr>
              </w:tbl>
            </w:sdtContent>
          </w:sdt>
          <w:p w:rsidR="00000000" w:rsidDel="00000000" w:rsidP="00000000" w:rsidRDefault="00000000" w:rsidRPr="00000000" w14:paraId="0000011A">
            <w:pPr>
              <w:spacing w:after="60" w:before="60" w:line="240" w:lineRule="auto"/>
              <w:ind w:left="0" w:right="57" w:firstLine="0"/>
              <w:rPr>
                <w:color w:val="000000"/>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bl>
      <w:tblPr>
        <w:tblStyle w:val="Table1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3"/>
        <w:tblGridChange w:id="0">
          <w:tblGrid>
            <w:gridCol w:w="9493"/>
          </w:tblGrid>
        </w:tblGridChange>
      </w:tblGrid>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Intended outcome 5</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color w:val="000000"/>
                <w:rtl w:val="0"/>
              </w:rPr>
              <w:t xml:space="preserve">To achieve and sustain improved wellbeing for all pupils in our school, particularly our disadvantaged pupils.</w:t>
            </w: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126">
            <w:pPr>
              <w:spacing w:after="60" w:before="60" w:line="240" w:lineRule="auto"/>
              <w:ind w:left="34" w:right="57" w:firstLine="0"/>
              <w:rPr>
                <w:color w:val="000000"/>
              </w:rPr>
            </w:pPr>
            <w:r w:rsidDel="00000000" w:rsidR="00000000" w:rsidRPr="00000000">
              <w:rPr>
                <w:color w:val="000000"/>
                <w:rtl w:val="0"/>
              </w:rPr>
              <w:t xml:space="preserve">Sustained high levels of wellbeing from 2024/25 demonstrated by:</w:t>
            </w:r>
          </w:p>
          <w:p w:rsidR="00000000" w:rsidDel="00000000" w:rsidP="00000000" w:rsidRDefault="00000000" w:rsidRPr="00000000" w14:paraId="00000127">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100% of children able to self regulate using taught strategies. Or use a variety of other strategies to overcome issues with regard to attendance, attention, engagement.</w:t>
            </w:r>
          </w:p>
          <w:p w:rsidR="00000000" w:rsidDel="00000000" w:rsidP="00000000" w:rsidRDefault="00000000" w:rsidRPr="00000000" w14:paraId="00000128">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qualitative data from pupil voice, pupil and parent surveys and teacher observations.</w:t>
            </w:r>
          </w:p>
          <w:p w:rsidR="00000000" w:rsidDel="00000000" w:rsidP="00000000" w:rsidRDefault="00000000" w:rsidRPr="00000000" w14:paraId="00000129">
            <w:pPr>
              <w:numPr>
                <w:ilvl w:val="0"/>
                <w:numId w:val="4"/>
              </w:numPr>
              <w:pBdr>
                <w:top w:space="0" w:sz="0" w:val="nil"/>
                <w:left w:space="0" w:sz="0" w:val="nil"/>
                <w:bottom w:space="0" w:sz="0" w:val="nil"/>
                <w:right w:space="0" w:sz="0" w:val="nil"/>
                <w:between w:space="0" w:sz="0" w:val="nil"/>
              </w:pBdr>
              <w:spacing w:after="120" w:before="60" w:line="240" w:lineRule="auto"/>
              <w:ind w:left="414" w:right="57" w:hanging="357"/>
              <w:rPr>
                <w:color w:val="000000"/>
              </w:rPr>
            </w:pPr>
            <w:r w:rsidDel="00000000" w:rsidR="00000000" w:rsidRPr="00000000">
              <w:rPr>
                <w:color w:val="000000"/>
                <w:rtl w:val="0"/>
              </w:rPr>
              <w:t xml:space="preserve">a significant reduction in those children needing to access the beehive on a daily basis.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color w:val="000000"/>
                <w:rtl w:val="0"/>
              </w:rPr>
              <w:t xml:space="preserve">a significant increase in participation in enrichment activities, particularly among disadvantaged pupils    </w:t>
            </w: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Staff are trained to deliver self-regulation strategies. Whilst the need for a key group of vulnerable children to access the beehive daily, the curriculum has been developed to support a school wide mental health offer. This will be further developed in 2024/25. </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The school has developed a rich offer of enrichment activities (e.g. residential trips, extra curricular clubs) which disadvantaged children benefit from.</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bookmarkStart w:colFirst="0" w:colLast="0" w:name="_heading=h.3znysh7" w:id="4"/>
            <w:bookmarkEnd w:id="4"/>
            <w:r w:rsidDel="00000000" w:rsidR="00000000" w:rsidRPr="00000000">
              <w:rPr>
                <w:b w:val="1"/>
                <w:color w:val="000000"/>
                <w:rtl w:val="0"/>
              </w:rPr>
              <w:t xml:space="preserve">Intended outcome 6</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color w:val="000000"/>
                <w:rtl w:val="0"/>
              </w:rPr>
              <w:t xml:space="preserve">To continue to fully support those children and their families engaged with social care.</w:t>
            </w:r>
            <w:r w:rsidDel="00000000" w:rsidR="00000000" w:rsidRPr="00000000">
              <w:rPr>
                <w:rtl w:val="0"/>
              </w:rPr>
            </w:r>
          </w:p>
        </w:tc>
      </w:tr>
      <w:tr>
        <w:trPr>
          <w:cantSplit w:val="0"/>
          <w:trHeight w:val="2685"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133">
            <w:pPr>
              <w:spacing w:after="120" w:before="60" w:line="240" w:lineRule="auto"/>
              <w:ind w:right="57"/>
              <w:rPr>
                <w:color w:val="000000"/>
              </w:rPr>
            </w:pPr>
            <w:r w:rsidDel="00000000" w:rsidR="00000000" w:rsidRPr="00000000">
              <w:rPr>
                <w:color w:val="000000"/>
                <w:rtl w:val="0"/>
              </w:rPr>
              <w:t xml:space="preserve">A response plan to support each respective family with bespoke support to meet the child’s and families needs dependent on their issues though the provision of:</w:t>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spacing w:after="0" w:before="60" w:line="240" w:lineRule="auto"/>
              <w:ind w:left="720" w:right="57" w:hanging="360"/>
              <w:rPr>
                <w:color w:val="000000"/>
              </w:rPr>
            </w:pPr>
            <w:r w:rsidDel="00000000" w:rsidR="00000000" w:rsidRPr="00000000">
              <w:rPr>
                <w:color w:val="000000"/>
                <w:rtl w:val="0"/>
              </w:rPr>
              <w:t xml:space="preserve">Signposting to resources.</w:t>
            </w:r>
          </w:p>
          <w:p w:rsidR="00000000" w:rsidDel="00000000" w:rsidP="00000000" w:rsidRDefault="00000000" w:rsidRPr="00000000" w14:paraId="00000135">
            <w:pPr>
              <w:numPr>
                <w:ilvl w:val="0"/>
                <w:numId w:val="1"/>
              </w:numPr>
              <w:pBdr>
                <w:top w:space="0" w:sz="0" w:val="nil"/>
                <w:left w:space="0" w:sz="0" w:val="nil"/>
                <w:bottom w:space="0" w:sz="0" w:val="nil"/>
                <w:right w:space="0" w:sz="0" w:val="nil"/>
                <w:between w:space="0" w:sz="0" w:val="nil"/>
              </w:pBdr>
              <w:spacing w:after="0" w:line="240" w:lineRule="auto"/>
              <w:ind w:left="720" w:right="57" w:hanging="360"/>
              <w:rPr>
                <w:color w:val="000000"/>
              </w:rPr>
            </w:pPr>
            <w:r w:rsidDel="00000000" w:rsidR="00000000" w:rsidRPr="00000000">
              <w:rPr>
                <w:color w:val="000000"/>
                <w:rtl w:val="0"/>
              </w:rPr>
              <w:t xml:space="preserve">Social care involvement</w:t>
            </w:r>
          </w:p>
          <w:p w:rsidR="00000000" w:rsidDel="00000000" w:rsidP="00000000" w:rsidRDefault="00000000" w:rsidRPr="00000000" w14:paraId="00000136">
            <w:pPr>
              <w:numPr>
                <w:ilvl w:val="0"/>
                <w:numId w:val="1"/>
              </w:numPr>
              <w:pBdr>
                <w:top w:space="0" w:sz="0" w:val="nil"/>
                <w:left w:space="0" w:sz="0" w:val="nil"/>
                <w:bottom w:space="0" w:sz="0" w:val="nil"/>
                <w:right w:space="0" w:sz="0" w:val="nil"/>
                <w:between w:space="0" w:sz="0" w:val="nil"/>
              </w:pBdr>
              <w:spacing w:after="0" w:line="240" w:lineRule="auto"/>
              <w:ind w:left="720" w:right="57" w:hanging="360"/>
              <w:rPr>
                <w:color w:val="000000"/>
              </w:rPr>
            </w:pPr>
            <w:r w:rsidDel="00000000" w:rsidR="00000000" w:rsidRPr="00000000">
              <w:rPr>
                <w:color w:val="000000"/>
                <w:rtl w:val="0"/>
              </w:rPr>
              <w:t xml:space="preserve">Appropriate support through child in need or child protection plans</w:t>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spacing w:after="120" w:line="240" w:lineRule="auto"/>
              <w:ind w:left="720" w:right="57" w:hanging="360"/>
              <w:rPr>
                <w:color w:val="000000"/>
              </w:rPr>
            </w:pPr>
            <w:r w:rsidDel="00000000" w:rsidR="00000000" w:rsidRPr="00000000">
              <w:rPr>
                <w:color w:val="000000"/>
                <w:rtl w:val="0"/>
              </w:rPr>
              <w:t xml:space="preserve">Family support worker provision.</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color w:val="000000"/>
                <w:rtl w:val="0"/>
              </w:rPr>
              <w:t xml:space="preserve">Essential items bank for immediately supporting families.</w:t>
            </w: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6720"/>
              </w:tabs>
              <w:spacing w:after="120" w:before="60" w:line="240" w:lineRule="auto"/>
              <w:ind w:left="57" w:right="57" w:firstLine="0"/>
              <w:jc w:val="both"/>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6720"/>
              </w:tabs>
              <w:spacing w:after="120" w:before="60" w:line="240" w:lineRule="auto"/>
              <w:ind w:left="57" w:right="57" w:firstLine="0"/>
              <w:jc w:val="both"/>
              <w:rPr>
                <w:color w:val="000000"/>
              </w:rPr>
            </w:pPr>
            <w:r w:rsidDel="00000000" w:rsidR="00000000" w:rsidRPr="00000000">
              <w:rPr>
                <w:color w:val="000000"/>
                <w:rtl w:val="0"/>
              </w:rPr>
              <w:t xml:space="preserve">The Social Inclusion manager and wider Beehive team promote early help and continue to support children and families engaged with social care through child in need and child protection plans. Safeguarding was identified as ‘effective’ by Ofsted September 2023.</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6720"/>
              </w:tabs>
              <w:spacing w:after="120" w:before="60" w:line="240" w:lineRule="auto"/>
              <w:ind w:left="57" w:right="57" w:firstLine="0"/>
              <w:jc w:val="both"/>
              <w:rPr>
                <w:color w:val="000000"/>
              </w:rPr>
            </w:pP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6720"/>
              </w:tabs>
              <w:spacing w:after="120" w:before="60" w:line="240" w:lineRule="auto"/>
              <w:ind w:left="57" w:right="57" w:firstLine="0"/>
              <w:rPr>
                <w:b w:val="1"/>
                <w:color w:val="000000"/>
              </w:rPr>
            </w:pPr>
            <w:r w:rsidDel="00000000" w:rsidR="00000000" w:rsidRPr="00000000">
              <w:rPr>
                <w:b w:val="1"/>
                <w:color w:val="000000"/>
                <w:rtl w:val="0"/>
              </w:rPr>
              <w:t xml:space="preserve">Intended outcome 7</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6720"/>
              </w:tabs>
              <w:spacing w:after="120" w:before="60" w:line="240" w:lineRule="auto"/>
              <w:ind w:left="57" w:right="57" w:firstLine="0"/>
              <w:rPr>
                <w:b w:val="1"/>
                <w:color w:val="000000"/>
              </w:rPr>
            </w:pPr>
            <w:r w:rsidDel="00000000" w:rsidR="00000000" w:rsidRPr="00000000">
              <w:rPr>
                <w:color w:val="000000"/>
                <w:rtl w:val="0"/>
              </w:rPr>
              <w:t xml:space="preserve">To have identified, referred and provided additional support for the needs of children with SEND.</w:t>
            </w: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0.0" w:type="dxa"/>
              <w:left w:w="108.0" w:type="dxa"/>
              <w:bottom w:w="0.0" w:type="dxa"/>
              <w:right w:w="108.0" w:type="dxa"/>
            </w:tcM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Success Criteria</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60" w:line="240" w:lineRule="auto"/>
              <w:ind w:left="414" w:right="57" w:hanging="360"/>
              <w:rPr>
                <w:color w:val="000000"/>
              </w:rPr>
            </w:pPr>
            <w:r w:rsidDel="00000000" w:rsidR="00000000" w:rsidRPr="00000000">
              <w:rPr>
                <w:color w:val="000000"/>
                <w:rtl w:val="0"/>
              </w:rPr>
              <w:t xml:space="preserve">All children with additional needs and SEND have a personalised plan for intervention which is assessed and evaluated regularly, demonstrating progress is being made for each individual.</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color w:val="000000"/>
                <w:rtl w:val="0"/>
              </w:rPr>
              <w:t xml:space="preserve">For those children who require additional support outside of element 2 funding to have access to additional support, a prescriptive plan to support progress and/or access to specialist provision.</w:t>
            </w: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b w:val="1"/>
                <w:color w:val="000000"/>
                <w:rtl w:val="0"/>
              </w:rPr>
              <w:t xml:space="preserve">Evidence and impact</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60" w:line="240" w:lineRule="auto"/>
              <w:ind w:left="57" w:right="57" w:firstLine="0"/>
              <w:rPr>
                <w:color w:val="000000"/>
              </w:rPr>
            </w:pPr>
            <w:r w:rsidDel="00000000" w:rsidR="00000000" w:rsidRPr="00000000">
              <w:rPr>
                <w:color w:val="000000"/>
                <w:rtl w:val="0"/>
              </w:rPr>
              <w:t xml:space="preserve">All children with SEND have personalised plan which are reviewed termly.</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60" w:line="240" w:lineRule="auto"/>
              <w:ind w:left="57" w:right="57" w:firstLine="0"/>
              <w:rPr>
                <w:b w:val="1"/>
                <w:color w:val="000000"/>
              </w:rPr>
            </w:pPr>
            <w:r w:rsidDel="00000000" w:rsidR="00000000" w:rsidRPr="00000000">
              <w:rPr>
                <w:rtl w:val="0"/>
              </w:rPr>
            </w:r>
          </w:p>
        </w:tc>
      </w:tr>
    </w:tbl>
    <w:p w:rsidR="00000000" w:rsidDel="00000000" w:rsidP="00000000" w:rsidRDefault="00000000" w:rsidRPr="00000000" w14:paraId="00000144">
      <w:pPr>
        <w:pStyle w:val="Heading2"/>
        <w:spacing w:before="600" w:lineRule="auto"/>
        <w:rPr/>
      </w:pPr>
      <w:r w:rsidDel="00000000" w:rsidR="00000000" w:rsidRPr="00000000">
        <w:rPr>
          <w:rtl w:val="0"/>
        </w:rPr>
        <w:t xml:space="preserve">Externally provided programmes</w:t>
      </w:r>
    </w:p>
    <w:tbl>
      <w:tblPr>
        <w:tblStyle w:val="Table16"/>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Programme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Lego therapy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Le Goff et 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Read Write Inc</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Ruth Miskin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ADHD therapy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color w:val="0070c0"/>
                <w:rtl w:val="0"/>
              </w:rPr>
              <w:t xml:space="preserve">ADHD foundation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60" w:before="60" w:line="240" w:lineRule="auto"/>
              <w:ind w:right="57"/>
              <w:rPr>
                <w:color w:val="0070c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60" w:before="60" w:line="240" w:lineRule="auto"/>
              <w:ind w:left="57" w:right="57" w:firstLine="0"/>
              <w:rPr>
                <w:color w:val="0070c0"/>
              </w:rPr>
            </w:pPr>
            <w:r w:rsidDel="00000000" w:rsidR="00000000" w:rsidRPr="00000000">
              <w:rPr>
                <w:rtl w:val="0"/>
              </w:rPr>
            </w:r>
          </w:p>
        </w:tc>
      </w:tr>
    </w:tbl>
    <w:p w:rsidR="00000000" w:rsidDel="00000000" w:rsidP="00000000" w:rsidRDefault="00000000" w:rsidRPr="00000000" w14:paraId="0000014F">
      <w:pPr>
        <w:pStyle w:val="Heading1"/>
        <w:rPr/>
      </w:pPr>
      <w:r w:rsidDel="00000000" w:rsidR="00000000" w:rsidRPr="00000000">
        <w:rPr>
          <w:rtl w:val="0"/>
        </w:rPr>
        <w:t xml:space="preserve">Further information </w:t>
      </w:r>
    </w:p>
    <w:tbl>
      <w:tblPr>
        <w:tblStyle w:val="Table17"/>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0">
            <w:pPr>
              <w:spacing w:after="120" w:before="120" w:lineRule="auto"/>
              <w:rPr>
                <w:color w:val="000000"/>
              </w:rPr>
            </w:pPr>
            <w:r w:rsidDel="00000000" w:rsidR="00000000" w:rsidRPr="00000000">
              <w:rPr>
                <w:color w:val="000000"/>
                <w:rtl w:val="0"/>
              </w:rPr>
              <w:t xml:space="preserve">To support our planning for our pupil premium strategy we have: </w:t>
            </w:r>
          </w:p>
          <w:p w:rsidR="00000000" w:rsidDel="00000000" w:rsidP="00000000" w:rsidRDefault="00000000" w:rsidRPr="00000000" w14:paraId="00000151">
            <w:pPr>
              <w:numPr>
                <w:ilvl w:val="0"/>
                <w:numId w:val="2"/>
              </w:numPr>
              <w:pBdr>
                <w:top w:space="0" w:sz="0" w:val="nil"/>
                <w:left w:space="0" w:sz="0" w:val="nil"/>
                <w:bottom w:space="0" w:sz="0" w:val="nil"/>
                <w:right w:space="0" w:sz="0" w:val="nil"/>
                <w:between w:space="0" w:sz="0" w:val="nil"/>
              </w:pBdr>
              <w:spacing w:after="60" w:before="120" w:lineRule="auto"/>
              <w:ind w:left="714" w:hanging="357"/>
              <w:rPr>
                <w:color w:val="000000"/>
              </w:rPr>
            </w:pPr>
            <w:r w:rsidDel="00000000" w:rsidR="00000000" w:rsidRPr="00000000">
              <w:rPr>
                <w:color w:val="000000"/>
                <w:rtl w:val="0"/>
              </w:rPr>
              <w:t xml:space="preserve">allowed senior leaders to benefit from training in behaviour strategies from the EEF to support behaviours and attitudes for learning particularly for disadvantaged pupils. </w:t>
            </w:r>
          </w:p>
          <w:p w:rsidR="00000000" w:rsidDel="00000000" w:rsidP="00000000" w:rsidRDefault="00000000" w:rsidRPr="00000000" w14:paraId="00000152">
            <w:pPr>
              <w:numPr>
                <w:ilvl w:val="0"/>
                <w:numId w:val="2"/>
              </w:numPr>
              <w:pBdr>
                <w:top w:space="0" w:sz="0" w:val="nil"/>
                <w:left w:space="0" w:sz="0" w:val="nil"/>
                <w:bottom w:space="0" w:sz="0" w:val="nil"/>
                <w:right w:space="0" w:sz="0" w:val="nil"/>
                <w:between w:space="0" w:sz="0" w:val="nil"/>
              </w:pBdr>
              <w:spacing w:after="60" w:before="60" w:lineRule="auto"/>
              <w:ind w:left="714" w:hanging="357"/>
              <w:rPr>
                <w:color w:val="000000"/>
              </w:rPr>
            </w:pPr>
            <w:r w:rsidDel="00000000" w:rsidR="00000000" w:rsidRPr="00000000">
              <w:rPr>
                <w:color w:val="000000"/>
                <w:rtl w:val="0"/>
              </w:rPr>
              <w:t xml:space="preserve">utilised </w:t>
            </w:r>
            <w:hyperlink r:id="rId25">
              <w:r w:rsidDel="00000000" w:rsidR="00000000" w:rsidRPr="00000000">
                <w:rPr>
                  <w:color w:val="0070c0"/>
                  <w:u w:val="single"/>
                  <w:rtl w:val="0"/>
                </w:rPr>
                <w:t xml:space="preserve">DfE grant to train a senior mental health lead</w:t>
              </w:r>
            </w:hyperlink>
            <w:r w:rsidDel="00000000" w:rsidR="00000000" w:rsidRPr="00000000">
              <w:rPr>
                <w:color w:val="000000"/>
                <w:rtl w:val="0"/>
              </w:rPr>
              <w:t xml:space="preserve">. The training we have selected for the Deputy Head to lead on will focus on the training needs identified through the online tool: to develop our understanding of our pupils’ needs, give pupils a voice in how we address wellbeing, and support more effective collaboration with parents.</w:t>
            </w:r>
          </w:p>
          <w:p w:rsidR="00000000" w:rsidDel="00000000" w:rsidP="00000000" w:rsidRDefault="00000000" w:rsidRPr="00000000" w14:paraId="00000153">
            <w:pPr>
              <w:numPr>
                <w:ilvl w:val="0"/>
                <w:numId w:val="2"/>
              </w:numPr>
              <w:pBdr>
                <w:top w:space="0" w:sz="0" w:val="nil"/>
                <w:left w:space="0" w:sz="0" w:val="nil"/>
                <w:bottom w:space="0" w:sz="0" w:val="nil"/>
                <w:right w:space="0" w:sz="0" w:val="nil"/>
                <w:between w:space="0" w:sz="0" w:val="nil"/>
              </w:pBdr>
              <w:spacing w:after="120" w:before="60" w:lineRule="auto"/>
              <w:ind w:left="714" w:hanging="357"/>
              <w:rPr>
                <w:color w:val="000000"/>
              </w:rPr>
            </w:pPr>
            <w:r w:rsidDel="00000000" w:rsidR="00000000" w:rsidRPr="00000000">
              <w:rPr>
                <w:color w:val="000000"/>
                <w:rtl w:val="0"/>
              </w:rPr>
              <w:t xml:space="preserve">We have also offered a wide range of extracurricular activities to boost wellbeing, behaviour, attendance, and aspiration for our children who attend the Beehive both after school and during INSET days. Disadvantaged children in particular are encouraged to participate.</w:t>
            </w:r>
          </w:p>
          <w:p w:rsidR="00000000" w:rsidDel="00000000" w:rsidP="00000000" w:rsidRDefault="00000000" w:rsidRPr="00000000" w14:paraId="00000154">
            <w:pPr>
              <w:spacing w:after="120" w:before="240" w:lineRule="auto"/>
              <w:rPr>
                <w:b w:val="1"/>
                <w:color w:val="000000"/>
              </w:rPr>
            </w:pPr>
            <w:r w:rsidDel="00000000" w:rsidR="00000000" w:rsidRPr="00000000">
              <w:rPr>
                <w:b w:val="1"/>
                <w:color w:val="000000"/>
                <w:rtl w:val="0"/>
              </w:rPr>
              <w:t xml:space="preserve">Planning, implementation, and evaluation</w:t>
            </w:r>
          </w:p>
          <w:p w:rsidR="00000000" w:rsidDel="00000000" w:rsidP="00000000" w:rsidRDefault="00000000" w:rsidRPr="00000000" w14:paraId="00000155">
            <w:pPr>
              <w:spacing w:before="120" w:lineRule="auto"/>
              <w:rPr>
                <w:color w:val="000000"/>
              </w:rPr>
            </w:pPr>
            <w:r w:rsidDel="00000000" w:rsidR="00000000" w:rsidRPr="00000000">
              <w:rPr>
                <w:color w:val="000000"/>
                <w:rtl w:val="0"/>
              </w:rPr>
              <w:t xml:space="preserve">We monitor and evaluate the activities we incorporate each year as part of our pupil premium strategy to ensure that it meets the needs for all of our children including our most disadvantaged children and has the meets the outcomes it was intended for. </w:t>
            </w:r>
          </w:p>
          <w:p w:rsidR="00000000" w:rsidDel="00000000" w:rsidP="00000000" w:rsidRDefault="00000000" w:rsidRPr="00000000" w14:paraId="00000156">
            <w:pPr>
              <w:spacing w:before="120" w:lineRule="auto"/>
              <w:rPr>
                <w:color w:val="000000"/>
              </w:rPr>
            </w:pPr>
            <w:r w:rsidDel="00000000" w:rsidR="00000000" w:rsidRPr="00000000">
              <w:rPr>
                <w:color w:val="000000"/>
                <w:rtl w:val="0"/>
              </w:rPr>
              <w:t xml:space="preserve">We always triangulated evidence from multiple sources of data including assessments, behaviour and attitudes to learning, book scrutiny, conversations with parents, pupil voice and teachers in order to identify the challenges faced by disadvantaged pupils. We use evidence from the EEF and their case study to understand how we can further improve the use of funding at Somerville. </w:t>
            </w:r>
          </w:p>
          <w:p w:rsidR="00000000" w:rsidDel="00000000" w:rsidP="00000000" w:rsidRDefault="00000000" w:rsidRPr="00000000" w14:paraId="00000157">
            <w:pPr>
              <w:spacing w:before="120" w:lineRule="auto"/>
              <w:rPr>
                <w:color w:val="000000"/>
              </w:rPr>
            </w:pPr>
            <w:r w:rsidDel="00000000" w:rsidR="00000000" w:rsidRPr="00000000">
              <w:rPr>
                <w:color w:val="000000"/>
                <w:rtl w:val="0"/>
              </w:rPr>
              <w:t xml:space="preserve">We looked at a number of EEF reports, case studies and research papers about effective use of pupil premium, the impact of disadvantage on education outcomes and how to address challenges to learning presented by socio-economic disadvantage. As well as attending several disadvantaged children courses which have added to the catalogue of support which we call upon for our strategy. </w:t>
            </w:r>
          </w:p>
          <w:p w:rsidR="00000000" w:rsidDel="00000000" w:rsidP="00000000" w:rsidRDefault="00000000" w:rsidRPr="00000000" w14:paraId="00000158">
            <w:pPr>
              <w:spacing w:after="120" w:before="120" w:lineRule="auto"/>
              <w:rPr>
                <w:color w:val="000000"/>
              </w:rPr>
            </w:pPr>
            <w:r w:rsidDel="00000000" w:rsidR="00000000" w:rsidRPr="00000000">
              <w:rPr>
                <w:color w:val="000000"/>
                <w:rtl w:val="0"/>
              </w:rPr>
              <w:t xml:space="preserve">We used the </w:t>
            </w:r>
            <w:hyperlink r:id="rId26">
              <w:r w:rsidDel="00000000" w:rsidR="00000000" w:rsidRPr="00000000">
                <w:rPr>
                  <w:color w:val="0070c0"/>
                  <w:u w:val="single"/>
                  <w:rtl w:val="0"/>
                </w:rPr>
                <w:t xml:space="preserve">EEF’s implementation guidance</w:t>
              </w:r>
            </w:hyperlink>
            <w:r w:rsidDel="00000000" w:rsidR="00000000" w:rsidRPr="00000000">
              <w:rPr>
                <w:color w:val="000000"/>
                <w:rtl w:val="0"/>
              </w:rPr>
              <w:t xml:space="preserve"> to help us develop our strategy.</w:t>
            </w:r>
          </w:p>
        </w:tc>
      </w:tr>
    </w:tbl>
    <w:p w:rsidR="00000000" w:rsidDel="00000000" w:rsidP="00000000" w:rsidRDefault="00000000" w:rsidRPr="00000000" w14:paraId="00000159">
      <w:pPr>
        <w:spacing w:after="0" w:line="240" w:lineRule="auto"/>
        <w:rPr/>
      </w:pPr>
      <w:r w:rsidDel="00000000" w:rsidR="00000000" w:rsidRPr="00000000">
        <w:rPr>
          <w:rtl w:val="0"/>
        </w:rPr>
      </w:r>
    </w:p>
    <w:sectPr>
      <w:headerReference r:id="rId27" w:type="default"/>
      <w:footerReference r:id="rId2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4513"/>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417" w:hanging="360"/>
      </w:pPr>
      <w:rPr>
        <w:rFonts w:ascii="Noto Sans Symbols" w:cs="Noto Sans Symbols" w:eastAsia="Noto Sans Symbols" w:hAnsi="Noto Sans Symbols"/>
      </w:rPr>
    </w:lvl>
    <w:lvl w:ilvl="1">
      <w:start w:val="1"/>
      <w:numFmt w:val="bullet"/>
      <w:lvlText w:val="o"/>
      <w:lvlJc w:val="left"/>
      <w:pPr>
        <w:ind w:left="1137" w:hanging="360"/>
      </w:pPr>
      <w:rPr>
        <w:rFonts w:ascii="Courier New" w:cs="Courier New" w:eastAsia="Courier New" w:hAnsi="Courier New"/>
      </w:rPr>
    </w:lvl>
    <w:lvl w:ilvl="2">
      <w:start w:val="1"/>
      <w:numFmt w:val="bullet"/>
      <w:lvlText w:val="▪"/>
      <w:lvlJc w:val="left"/>
      <w:pPr>
        <w:ind w:left="1857" w:hanging="360"/>
      </w:pPr>
      <w:rPr>
        <w:rFonts w:ascii="Noto Sans Symbols" w:cs="Noto Sans Symbols" w:eastAsia="Noto Sans Symbols" w:hAnsi="Noto Sans Symbols"/>
      </w:rPr>
    </w:lvl>
    <w:lvl w:ilvl="3">
      <w:start w:val="1"/>
      <w:numFmt w:val="bullet"/>
      <w:lvlText w:val="●"/>
      <w:lvlJc w:val="left"/>
      <w:pPr>
        <w:ind w:left="2577" w:hanging="360"/>
      </w:pPr>
      <w:rPr>
        <w:rFonts w:ascii="Noto Sans Symbols" w:cs="Noto Sans Symbols" w:eastAsia="Noto Sans Symbols" w:hAnsi="Noto Sans Symbols"/>
      </w:rPr>
    </w:lvl>
    <w:lvl w:ilvl="4">
      <w:start w:val="1"/>
      <w:numFmt w:val="bullet"/>
      <w:lvlText w:val="o"/>
      <w:lvlJc w:val="left"/>
      <w:pPr>
        <w:ind w:left="3297" w:hanging="360"/>
      </w:pPr>
      <w:rPr>
        <w:rFonts w:ascii="Courier New" w:cs="Courier New" w:eastAsia="Courier New" w:hAnsi="Courier New"/>
      </w:rPr>
    </w:lvl>
    <w:lvl w:ilvl="5">
      <w:start w:val="1"/>
      <w:numFmt w:val="bullet"/>
      <w:lvlText w:val="▪"/>
      <w:lvlJc w:val="left"/>
      <w:pPr>
        <w:ind w:left="4017" w:hanging="360"/>
      </w:pPr>
      <w:rPr>
        <w:rFonts w:ascii="Noto Sans Symbols" w:cs="Noto Sans Symbols" w:eastAsia="Noto Sans Symbols" w:hAnsi="Noto Sans Symbols"/>
      </w:rPr>
    </w:lvl>
    <w:lvl w:ilvl="6">
      <w:start w:val="1"/>
      <w:numFmt w:val="bullet"/>
      <w:lvlText w:val="●"/>
      <w:lvlJc w:val="left"/>
      <w:pPr>
        <w:ind w:left="4737" w:hanging="360"/>
      </w:pPr>
      <w:rPr>
        <w:rFonts w:ascii="Noto Sans Symbols" w:cs="Noto Sans Symbols" w:eastAsia="Noto Sans Symbols" w:hAnsi="Noto Sans Symbols"/>
      </w:rPr>
    </w:lvl>
    <w:lvl w:ilvl="7">
      <w:start w:val="1"/>
      <w:numFmt w:val="bullet"/>
      <w:lvlText w:val="o"/>
      <w:lvlJc w:val="left"/>
      <w:pPr>
        <w:ind w:left="5457" w:hanging="360"/>
      </w:pPr>
      <w:rPr>
        <w:rFonts w:ascii="Courier New" w:cs="Courier New" w:eastAsia="Courier New" w:hAnsi="Courier New"/>
      </w:rPr>
    </w:lvl>
    <w:lvl w:ilvl="8">
      <w:start w:val="1"/>
      <w:numFmt w:val="bullet"/>
      <w:lvlText w:val="▪"/>
      <w:lvlJc w:val="left"/>
      <w:pPr>
        <w:ind w:left="6177" w:hanging="360"/>
      </w:pPr>
      <w:rPr>
        <w:rFonts w:ascii="Noto Sans Symbols" w:cs="Noto Sans Symbols" w:eastAsia="Noto Sans Symbols" w:hAnsi="Noto Sans Symbols"/>
      </w:rPr>
    </w:lvl>
  </w:abstractNum>
  <w:abstractNum w:abstractNumId="4">
    <w:lvl w:ilvl="0">
      <w:start w:val="1"/>
      <w:numFmt w:val="bullet"/>
      <w:lvlText w:val="●"/>
      <w:lvlJc w:val="left"/>
      <w:pPr>
        <w:ind w:left="414" w:hanging="360"/>
      </w:pPr>
      <w:rPr>
        <w:rFonts w:ascii="Noto Sans Symbols" w:cs="Noto Sans Symbols" w:eastAsia="Noto Sans Symbols" w:hAnsi="Noto Sans Symbols"/>
      </w:rPr>
    </w:lvl>
    <w:lvl w:ilvl="1">
      <w:start w:val="1"/>
      <w:numFmt w:val="bullet"/>
      <w:lvlText w:val="o"/>
      <w:lvlJc w:val="left"/>
      <w:pPr>
        <w:ind w:left="1134" w:hanging="360"/>
      </w:pPr>
      <w:rPr>
        <w:rFonts w:ascii="Courier New" w:cs="Courier New" w:eastAsia="Courier New" w:hAnsi="Courier New"/>
      </w:rPr>
    </w:lvl>
    <w:lvl w:ilvl="2">
      <w:start w:val="1"/>
      <w:numFmt w:val="bullet"/>
      <w:lvlText w:val="▪"/>
      <w:lvlJc w:val="left"/>
      <w:pPr>
        <w:ind w:left="1854" w:hanging="360"/>
      </w:pPr>
      <w:rPr>
        <w:rFonts w:ascii="Noto Sans Symbols" w:cs="Noto Sans Symbols" w:eastAsia="Noto Sans Symbols" w:hAnsi="Noto Sans Symbols"/>
      </w:rPr>
    </w:lvl>
    <w:lvl w:ilvl="3">
      <w:start w:val="1"/>
      <w:numFmt w:val="bullet"/>
      <w:lvlText w:val="●"/>
      <w:lvlJc w:val="left"/>
      <w:pPr>
        <w:ind w:left="2574" w:hanging="360"/>
      </w:pPr>
      <w:rPr>
        <w:rFonts w:ascii="Noto Sans Symbols" w:cs="Noto Sans Symbols" w:eastAsia="Noto Sans Symbols" w:hAnsi="Noto Sans Symbols"/>
      </w:rPr>
    </w:lvl>
    <w:lvl w:ilvl="4">
      <w:start w:val="1"/>
      <w:numFmt w:val="bullet"/>
      <w:lvlText w:val="o"/>
      <w:lvlJc w:val="left"/>
      <w:pPr>
        <w:ind w:left="3294" w:hanging="360"/>
      </w:pPr>
      <w:rPr>
        <w:rFonts w:ascii="Courier New" w:cs="Courier New" w:eastAsia="Courier New" w:hAnsi="Courier New"/>
      </w:rPr>
    </w:lvl>
    <w:lvl w:ilvl="5">
      <w:start w:val="1"/>
      <w:numFmt w:val="bullet"/>
      <w:lvlText w:val="▪"/>
      <w:lvlJc w:val="left"/>
      <w:pPr>
        <w:ind w:left="4014" w:hanging="360"/>
      </w:pPr>
      <w:rPr>
        <w:rFonts w:ascii="Noto Sans Symbols" w:cs="Noto Sans Symbols" w:eastAsia="Noto Sans Symbols" w:hAnsi="Noto Sans Symbols"/>
      </w:rPr>
    </w:lvl>
    <w:lvl w:ilvl="6">
      <w:start w:val="1"/>
      <w:numFmt w:val="bullet"/>
      <w:lvlText w:val="●"/>
      <w:lvlJc w:val="left"/>
      <w:pPr>
        <w:ind w:left="4734" w:hanging="360"/>
      </w:pPr>
      <w:rPr>
        <w:rFonts w:ascii="Noto Sans Symbols" w:cs="Noto Sans Symbols" w:eastAsia="Noto Sans Symbols" w:hAnsi="Noto Sans Symbols"/>
      </w:rPr>
    </w:lvl>
    <w:lvl w:ilvl="7">
      <w:start w:val="1"/>
      <w:numFmt w:val="bullet"/>
      <w:lvlText w:val="o"/>
      <w:lvlJc w:val="left"/>
      <w:pPr>
        <w:ind w:left="5454" w:hanging="360"/>
      </w:pPr>
      <w:rPr>
        <w:rFonts w:ascii="Courier New" w:cs="Courier New" w:eastAsia="Courier New" w:hAnsi="Courier New"/>
      </w:rPr>
    </w:lvl>
    <w:lvl w:ilvl="8">
      <w:start w:val="1"/>
      <w:numFmt w:val="bullet"/>
      <w:lvlText w:val="▪"/>
      <w:lvlJc w:val="left"/>
      <w:pPr>
        <w:ind w:left="617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rsid w:val="00AB4DFD"/>
    <w:pPr>
      <w:suppressAutoHyphens w:val="1"/>
    </w:p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before="240" w:line="240" w:lineRule="auto"/>
    </w:pPr>
    <w:rPr>
      <w:b w:val="1"/>
      <w:color w:val="104f75"/>
      <w:sz w:val="96"/>
      <w:szCs w:val="120"/>
    </w:rPr>
  </w:style>
  <w:style w:type="numbering" w:styleId="WWOutlineListStyle1" w:customStyle="1">
    <w:name w:val="WW_OutlineListStyle_1"/>
    <w:basedOn w:val="NoList"/>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uiPriority w:val="99"/>
    <w:qFormat w:val="1"/>
    <w:rPr>
      <w:rFonts w:ascii="Arial" w:hAnsi="Arial"/>
      <w:color w:val="0000ff"/>
      <w:sz w:val="24"/>
      <w:u w:val="single"/>
    </w:rPr>
  </w:style>
  <w:style w:type="paragraph" w:styleId="TOCHeading">
    <w:name w:val="TOC Heading"/>
    <w:basedOn w:val="Normal"/>
    <w:next w:val="Normal"/>
    <w:pPr>
      <w:pageBreakBefore w:val="1"/>
    </w:pPr>
    <w:rPr>
      <w:b w:val="1"/>
      <w:color w:val="365f91"/>
      <w:sz w:val="36"/>
      <w:szCs w:val="28"/>
      <w:lang w:eastAsia="ja-JP"/>
    </w:rPr>
  </w:style>
  <w:style w:type="paragraph" w:styleId="TitleText" w:customStyle="1">
    <w:name w:val="TitleText"/>
    <w:basedOn w:val="Normal"/>
    <w:pPr>
      <w:spacing w:before="3600" w:line="240" w:lineRule="auto"/>
    </w:pPr>
    <w:rPr>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uiPriority w:val="34"/>
    <w:qFormat w:val="1"/>
    <w:pPr>
      <w:numPr>
        <w:numId w:val="7"/>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val="1"/>
    </w:pPr>
  </w:style>
  <w:style w:type="paragraph" w:styleId="DfESOutNumbered" w:customStyle="1">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next w:val="Normal"/>
    <w:pPr>
      <w:widowControl w:val="0"/>
      <w:spacing w:after="60" w:line="240" w:lineRule="auto"/>
      <w:jc w:val="center"/>
    </w:pPr>
    <w:rPr>
      <w:i w:val="1"/>
      <w:color w:val="000000"/>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customStyle="1">
    <w:name w:val="Unresolved Mention"/>
    <w:basedOn w:val="DefaultParagraphFont"/>
    <w:rPr>
      <w:color w:val="605e5c"/>
      <w:shd w:color="auto" w:fill="e1dfdd" w:val="clear"/>
    </w:rPr>
  </w:style>
  <w:style w:type="numbering" w:styleId="WWOutlineListStyle" w:customStyle="1">
    <w:name w:val="WW_OutlineListStyle"/>
    <w:basedOn w:val="NoList"/>
  </w:style>
  <w:style w:type="numbering" w:styleId="LFO3" w:customStyle="1">
    <w:name w:val="LFO3"/>
    <w:basedOn w:val="NoList"/>
  </w:style>
  <w:style w:type="numbering" w:styleId="LFO4" w:customStyle="1">
    <w:name w:val="LFO4"/>
    <w:basedOn w:val="NoList"/>
  </w:style>
  <w:style w:type="numbering" w:styleId="LFO6" w:customStyle="1">
    <w:name w:val="LFO6"/>
    <w:basedOn w:val="NoList"/>
  </w:style>
  <w:style w:type="numbering" w:styleId="LFO9" w:customStyle="1">
    <w:name w:val="LFO9"/>
    <w:basedOn w:val="NoList"/>
  </w:style>
  <w:style w:type="numbering" w:styleId="LFO10" w:customStyle="1">
    <w:name w:val="LFO10"/>
    <w:basedOn w:val="NoList"/>
  </w:style>
  <w:style w:type="numbering" w:styleId="LFO25" w:customStyle="1">
    <w:name w:val="LFO25"/>
    <w:basedOn w:val="NoList"/>
  </w:style>
  <w:style w:type="numbering" w:styleId="LFO28" w:customStyle="1">
    <w:name w:val="LFO28"/>
    <w:basedOn w:val="NoList"/>
  </w:style>
  <w:style w:type="numbering" w:styleId="LFO30" w:customStyle="1">
    <w:name w:val="LFO30"/>
    <w:basedOn w:val="NoList"/>
  </w:style>
  <w:style w:type="numbering" w:styleId="LFO34" w:customStyle="1">
    <w:name w:val="LFO34"/>
    <w:basedOn w:val="NoList"/>
  </w:style>
  <w:style w:type="numbering" w:styleId="LFO36" w:customStyle="1">
    <w:name w:val="LFO36"/>
    <w:basedOn w:val="NoList"/>
  </w:style>
  <w:style w:type="character" w:styleId="normaltextrun" w:customStyle="1">
    <w:name w:val="normaltextrun"/>
    <w:basedOn w:val="DefaultParagraphFont"/>
    <w:rsid w:val="00231624"/>
  </w:style>
  <w:style w:type="character" w:styleId="eop" w:customStyle="1">
    <w:name w:val="eop"/>
    <w:basedOn w:val="DefaultParagraphFont"/>
    <w:rsid w:val="00231624"/>
  </w:style>
  <w:style w:type="paragraph" w:styleId="paragraph" w:customStyle="1">
    <w:name w:val="paragraph"/>
    <w:basedOn w:val="Normal"/>
    <w:rsid w:val="00BB6D98"/>
    <w:pPr>
      <w:suppressAutoHyphens w:val="0"/>
      <w:spacing w:after="100" w:afterAutospacing="1" w:before="100" w:beforeAutospacing="1" w:line="240" w:lineRule="auto"/>
    </w:pPr>
    <w:rPr>
      <w:rFonts w:ascii="Times New Roman" w:hAnsi="Times New Roman"/>
      <w:color w:val="auto"/>
    </w:rPr>
  </w:style>
  <w:style w:type="character" w:styleId="Mention" w:customStyle="1">
    <w:name w:val="Mention"/>
    <w:basedOn w:val="DefaultParagraphFont"/>
    <w:uiPriority w:val="99"/>
    <w:unhideWhenUsed w:val="1"/>
    <w:rsid w:val="001E0DE1"/>
    <w:rPr>
      <w:color w:val="2b579a"/>
      <w:shd w:color="auto" w:fill="e1dfdd" w:val="clear"/>
    </w:rPr>
  </w:style>
  <w:style w:type="table" w:styleId="TableGrid">
    <w:name w:val="Table Grid"/>
    <w:basedOn w:val="TableNormal"/>
    <w:uiPriority w:val="39"/>
    <w:rsid w:val="0034052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CellMar>
        <w:left w:w="10.0" w:type="dxa"/>
        <w:right w:w="10.0"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CellMar>
        <w:left w:w="10.0" w:type="dxa"/>
        <w:right w:w="10.0" w:type="dxa"/>
      </w:tblCellMar>
    </w:tbl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www.gov.uk/government/publications/improving-the-mental-health-of-children-and-young-people" TargetMode="External"/><Relationship Id="rId21" Type="http://schemas.openxmlformats.org/officeDocument/2006/relationships/hyperlink" Target="https://www.gov.uk/government/publications/school-attendance/framework-for-securing-full-attendance-actions-for-schools-and-local-authorities" TargetMode="External"/><Relationship Id="rId24" Type="http://schemas.openxmlformats.org/officeDocument/2006/relationships/image" Target="media/image1.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hoosing-a-phonics-teaching-programme" TargetMode="External"/><Relationship Id="rId26" Type="http://schemas.openxmlformats.org/officeDocument/2006/relationships/hyperlink" Target="https://educationendowmentfoundation.org.uk/education-evidence/guidance-reports/implementation" TargetMode="External"/><Relationship Id="rId25" Type="http://schemas.openxmlformats.org/officeDocument/2006/relationships/hyperlink" Target="https://www.gov.uk/guidance/senior-mental-health-lead-training"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onendowmentfoundation.org.uk/tools/assessing-and-monitoring-pupil-progress/testing/standardised-tests/" TargetMode="External"/><Relationship Id="rId8" Type="http://schemas.openxmlformats.org/officeDocument/2006/relationships/hyperlink" Target="https://educationendowmentfoundation.org.uk/evidence-summaries/teaching-learning-toolkit/oral-language-interventions/" TargetMode="External"/><Relationship Id="rId11" Type="http://schemas.openxmlformats.org/officeDocument/2006/relationships/hyperlink" Target="https://assets.publishing.service.gov.uk/government/uploads/system/uploads/attachment_data/file/897806/Maths_guidance_KS_1_and_2.pdf" TargetMode="External"/><Relationship Id="rId10"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https://educationendowmentfoundation.org.uk/education-evidence/guidance-reports/literacy-ks-1" TargetMode="External"/><Relationship Id="rId14" Type="http://schemas.openxmlformats.org/officeDocument/2006/relationships/hyperlink" Target="https://educationendowmentfoundation.org.uk/public/files/Publications/Maths/KS2_KS3_Maths_Guidance_2017.pdf" TargetMode="External"/><Relationship Id="rId17" Type="http://schemas.openxmlformats.org/officeDocument/2006/relationships/hyperlink" Target="https://educationendowmentfoundation.org.uk/public/files/Publications/SEL/EEF_Social_and_Emotional_Learning.pdf" TargetMode="External"/><Relationship Id="rId16"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teaching-assistants" TargetMode="External"/><Relationship Id="rId18" Type="http://schemas.openxmlformats.org/officeDocument/2006/relationships/hyperlink" Target="https://educationendowmentfoundation.org.uk/education-evidence/teaching-learning-toolkit/oral-language-interven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4CAC4BN5ADW9VZYlMQV57eDlg==">CgMxLjAaHwoBMBIaChgICVIUChJ0YWJsZS42bDN2YzF1N2w0dWcaHQoBMRIYChYIB0ISEhBBcmlhbCBVbmljb2RlIE1TGh0KATISGAoWCAdCEhIQQXJpYWwgVW5pY29kZSBNUxodCgEzEhgKFggHQhISEEFyaWFsIFVuaWNvZGUgTVMaHQoBNBIYChYIB0ISEhBBcmlhbCBVbmljb2RlIE1TGh0KATUSGAoWCAdCEhIQQXJpYWwgVW5pY29kZSBNUxofCgE2EhoKGAgJUhQKEnRhYmxlLjdxd3hkZXE3NWJxbRofCgE3EhoKGAgJUhQKEnRhYmxlLnVwb2N4MnowdDd0MjIIaC5namRneHMyCWguMzBqMHpsbDIJaC4yZXQ5MnAwMgloLjFmb2I5dGUyCWguM3pueXNoNzgAciExbWpsdkdQYUV6anNjdHEwaDZtYnRxVXJoSzc5dDNFM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2023-11-10T11:55:00Z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