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C927" w14:textId="4C4961E4" w:rsidR="00876B5C" w:rsidRPr="00AB2DCC" w:rsidRDefault="002D6B31" w:rsidP="002D6B31">
      <w:pPr>
        <w:jc w:val="center"/>
        <w:rPr>
          <w:rFonts w:ascii="Century Gothic" w:hAnsi="Century Gothic"/>
          <w:sz w:val="36"/>
          <w:szCs w:val="36"/>
        </w:rPr>
      </w:pPr>
      <w:r w:rsidRPr="00AB2DCC">
        <w:rPr>
          <w:rFonts w:ascii="Century Gothic" w:hAnsi="Century Gothic"/>
          <w:noProof/>
          <w:sz w:val="28"/>
          <w:szCs w:val="28"/>
        </w:rPr>
        <w:drawing>
          <wp:inline distT="0" distB="0" distL="0" distR="0" wp14:anchorId="3FBC3601" wp14:editId="2FDD3371">
            <wp:extent cx="753965" cy="695325"/>
            <wp:effectExtent l="0" t="0" r="8255" b="0"/>
            <wp:docPr id="1987717307" name="Picture 2" descr="A button with a picture of a person holding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17307" name="Picture 2" descr="A button with a picture of a person holding a cros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1441" cy="702220"/>
                    </a:xfrm>
                    <a:prstGeom prst="rect">
                      <a:avLst/>
                    </a:prstGeom>
                  </pic:spPr>
                </pic:pic>
              </a:graphicData>
            </a:graphic>
          </wp:inline>
        </w:drawing>
      </w:r>
    </w:p>
    <w:p w14:paraId="7E8A7C5D" w14:textId="3CB3544F" w:rsidR="00AB2DCC" w:rsidRDefault="00AB2DCC" w:rsidP="00CD2682">
      <w:pPr>
        <w:shd w:val="clear" w:color="auto" w:fill="FFFFFF"/>
        <w:spacing w:after="0" w:line="408" w:lineRule="auto"/>
        <w:jc w:val="center"/>
        <w:rPr>
          <w:rFonts w:ascii="Century Gothic" w:eastAsia="Times New Roman" w:hAnsi="Century Gothic" w:cs="Calibri"/>
          <w:sz w:val="24"/>
          <w:szCs w:val="24"/>
          <w:lang w:eastAsia="en-GB"/>
        </w:rPr>
      </w:pPr>
      <w:r w:rsidRPr="00CD2682">
        <w:rPr>
          <w:rFonts w:ascii="Century Gothic" w:eastAsia="Times New Roman" w:hAnsi="Century Gothic" w:cs="Calibri"/>
          <w:b/>
          <w:bCs/>
          <w:sz w:val="24"/>
          <w:szCs w:val="24"/>
          <w:u w:val="single"/>
          <w:lang w:eastAsia="en-GB"/>
        </w:rPr>
        <w:t>Ensuring Effective Implementation and Monitoring of the Pupil Premium Strategy</w:t>
      </w:r>
      <w:r w:rsidRPr="00CD2682">
        <w:rPr>
          <w:rFonts w:ascii="Century Gothic" w:eastAsia="Times New Roman" w:hAnsi="Century Gothic" w:cs="Calibri"/>
          <w:sz w:val="24"/>
          <w:szCs w:val="24"/>
          <w:lang w:eastAsia="en-GB"/>
        </w:rPr>
        <w:t xml:space="preserve"> </w:t>
      </w:r>
    </w:p>
    <w:p w14:paraId="326908E6" w14:textId="77777777" w:rsidR="00D2702D" w:rsidRPr="00CD2682" w:rsidRDefault="00D2702D" w:rsidP="00CD2682">
      <w:pPr>
        <w:shd w:val="clear" w:color="auto" w:fill="FFFFFF"/>
        <w:spacing w:after="0" w:line="408" w:lineRule="auto"/>
        <w:jc w:val="center"/>
        <w:rPr>
          <w:rFonts w:ascii="Century Gothic" w:eastAsia="Times New Roman" w:hAnsi="Century Gothic" w:cs="Calibri"/>
          <w:sz w:val="24"/>
          <w:szCs w:val="24"/>
          <w:lang w:eastAsia="en-GB"/>
        </w:rPr>
      </w:pPr>
    </w:p>
    <w:p w14:paraId="21D1E895" w14:textId="77777777" w:rsidR="00AB2DCC" w:rsidRPr="00CD2682" w:rsidRDefault="00AB2DCC" w:rsidP="00AB2DCC">
      <w:pPr>
        <w:shd w:val="clear" w:color="auto" w:fill="FFFFFF"/>
        <w:spacing w:after="0" w:line="408" w:lineRule="auto"/>
        <w:rPr>
          <w:rFonts w:ascii="Century Gothic" w:eastAsia="Times New Roman" w:hAnsi="Century Gothic" w:cs="Calibri"/>
          <w:b/>
          <w:bCs/>
          <w:sz w:val="24"/>
          <w:szCs w:val="24"/>
          <w:lang w:eastAsia="en-GB"/>
        </w:rPr>
      </w:pPr>
      <w:r w:rsidRPr="00CD2682">
        <w:rPr>
          <w:rFonts w:ascii="Century Gothic" w:eastAsia="Times New Roman" w:hAnsi="Century Gothic" w:cs="Calibri"/>
          <w:b/>
          <w:bCs/>
          <w:sz w:val="24"/>
          <w:szCs w:val="24"/>
          <w:lang w:eastAsia="en-GB"/>
        </w:rPr>
        <w:t>Leadership Actions to Implement and Monitor the Strategy</w:t>
      </w:r>
    </w:p>
    <w:p w14:paraId="0CD46C15" w14:textId="77777777" w:rsidR="00AB2DCC" w:rsidRPr="00CD2682" w:rsidRDefault="00AB2DCC" w:rsidP="00AB2DCC">
      <w:pPr>
        <w:numPr>
          <w:ilvl w:val="0"/>
          <w:numId w:val="9"/>
        </w:numPr>
        <w:shd w:val="clear" w:color="auto" w:fill="FFFFFF"/>
        <w:spacing w:after="0" w:line="408" w:lineRule="auto"/>
        <w:rPr>
          <w:rFonts w:ascii="Century Gothic" w:eastAsia="Times New Roman" w:hAnsi="Century Gothic" w:cs="Calibri"/>
          <w:sz w:val="24"/>
          <w:szCs w:val="24"/>
          <w:lang w:eastAsia="en-GB"/>
        </w:rPr>
      </w:pPr>
      <w:r w:rsidRPr="00CD2682">
        <w:rPr>
          <w:rFonts w:ascii="Century Gothic" w:eastAsia="Times New Roman" w:hAnsi="Century Gothic" w:cs="Calibri"/>
          <w:sz w:val="24"/>
          <w:szCs w:val="24"/>
          <w:lang w:eastAsia="en-GB"/>
        </w:rPr>
        <w:t>Clear Leadership and Accountability</w:t>
      </w:r>
    </w:p>
    <w:p w14:paraId="4C430DD6" w14:textId="77777777" w:rsidR="00AB2DCC" w:rsidRPr="00C5292C" w:rsidRDefault="00AB2DCC" w:rsidP="00C5292C">
      <w:pPr>
        <w:pStyle w:val="ListParagraph"/>
        <w:numPr>
          <w:ilvl w:val="0"/>
          <w:numId w:val="10"/>
        </w:numPr>
        <w:shd w:val="clear" w:color="auto" w:fill="FFFFFF"/>
        <w:spacing w:after="0" w:line="408" w:lineRule="auto"/>
        <w:rPr>
          <w:rFonts w:ascii="Century Gothic" w:eastAsia="Times New Roman" w:hAnsi="Century Gothic" w:cs="Calibri"/>
          <w:sz w:val="24"/>
          <w:szCs w:val="24"/>
          <w:lang w:eastAsia="en-GB"/>
        </w:rPr>
      </w:pPr>
      <w:r w:rsidRPr="00C5292C">
        <w:rPr>
          <w:rFonts w:ascii="Century Gothic" w:eastAsia="Times New Roman" w:hAnsi="Century Gothic" w:cs="Calibri"/>
          <w:sz w:val="24"/>
          <w:szCs w:val="24"/>
          <w:lang w:eastAsia="en-GB"/>
        </w:rPr>
        <w:t>The Headteacher and designated Pupil Premium Lead take ownership of the strategy’s delivery and outcomes.</w:t>
      </w:r>
    </w:p>
    <w:p w14:paraId="4376AB06" w14:textId="77777777" w:rsidR="00AB2DCC" w:rsidRPr="00C5292C" w:rsidRDefault="00AB2DCC" w:rsidP="00C5292C">
      <w:pPr>
        <w:pStyle w:val="ListParagraph"/>
        <w:numPr>
          <w:ilvl w:val="0"/>
          <w:numId w:val="10"/>
        </w:numPr>
        <w:shd w:val="clear" w:color="auto" w:fill="FFFFFF"/>
        <w:spacing w:after="0" w:line="408" w:lineRule="auto"/>
        <w:rPr>
          <w:rFonts w:ascii="Century Gothic" w:eastAsia="Times New Roman" w:hAnsi="Century Gothic" w:cs="Calibri"/>
          <w:sz w:val="24"/>
          <w:szCs w:val="24"/>
          <w:lang w:eastAsia="en-GB"/>
        </w:rPr>
      </w:pPr>
      <w:r w:rsidRPr="00C5292C">
        <w:rPr>
          <w:rFonts w:ascii="Century Gothic" w:eastAsia="Times New Roman" w:hAnsi="Century Gothic" w:cs="Calibri"/>
          <w:sz w:val="24"/>
          <w:szCs w:val="24"/>
          <w:lang w:eastAsia="en-GB"/>
        </w:rPr>
        <w:t>Governors regularly review pupil premium progress and hold leaders accountable through dedicated meetings and reports.</w:t>
      </w:r>
    </w:p>
    <w:p w14:paraId="3A8BEEAE" w14:textId="77777777" w:rsidR="00AB2DCC" w:rsidRPr="00C5292C" w:rsidRDefault="00AB2DCC" w:rsidP="00C5292C">
      <w:pPr>
        <w:pStyle w:val="ListParagraph"/>
        <w:numPr>
          <w:ilvl w:val="0"/>
          <w:numId w:val="10"/>
        </w:numPr>
        <w:shd w:val="clear" w:color="auto" w:fill="FFFFFF"/>
        <w:spacing w:after="0" w:line="408" w:lineRule="auto"/>
        <w:rPr>
          <w:rFonts w:ascii="Century Gothic" w:eastAsia="Times New Roman" w:hAnsi="Century Gothic" w:cs="Calibri"/>
          <w:sz w:val="24"/>
          <w:szCs w:val="24"/>
          <w:lang w:eastAsia="en-GB"/>
        </w:rPr>
      </w:pPr>
      <w:r w:rsidRPr="00C5292C">
        <w:rPr>
          <w:rFonts w:ascii="Century Gothic" w:eastAsia="Times New Roman" w:hAnsi="Century Gothic" w:cs="Calibri"/>
          <w:sz w:val="24"/>
          <w:szCs w:val="24"/>
          <w:lang w:eastAsia="en-GB"/>
        </w:rPr>
        <w:t>An implementation team is established, including SENCo, designated safeguarding lead, and key teaching staff, to oversee delivery and problem-solving.</w:t>
      </w:r>
    </w:p>
    <w:p w14:paraId="25505976" w14:textId="77777777" w:rsidR="00AB2DCC" w:rsidRPr="00CD2682" w:rsidRDefault="00AB2DCC" w:rsidP="00AB2DCC">
      <w:pPr>
        <w:numPr>
          <w:ilvl w:val="0"/>
          <w:numId w:val="9"/>
        </w:numPr>
        <w:shd w:val="clear" w:color="auto" w:fill="FFFFFF"/>
        <w:spacing w:after="0" w:line="408" w:lineRule="auto"/>
        <w:rPr>
          <w:rFonts w:ascii="Century Gothic" w:eastAsia="Times New Roman" w:hAnsi="Century Gothic" w:cs="Calibri"/>
          <w:sz w:val="24"/>
          <w:szCs w:val="24"/>
          <w:lang w:eastAsia="en-GB"/>
        </w:rPr>
      </w:pPr>
      <w:r w:rsidRPr="00CD2682">
        <w:rPr>
          <w:rFonts w:ascii="Century Gothic" w:eastAsia="Times New Roman" w:hAnsi="Century Gothic" w:cs="Calibri"/>
          <w:sz w:val="24"/>
          <w:szCs w:val="24"/>
          <w:lang w:eastAsia="en-GB"/>
        </w:rPr>
        <w:t>Ongoing High-Quality Training and Professional Development</w:t>
      </w:r>
    </w:p>
    <w:p w14:paraId="1684CBF3" w14:textId="77777777" w:rsidR="00AB2DCC" w:rsidRPr="00C5292C" w:rsidRDefault="00AB2DCC" w:rsidP="00C5292C">
      <w:pPr>
        <w:pStyle w:val="ListParagraph"/>
        <w:numPr>
          <w:ilvl w:val="0"/>
          <w:numId w:val="11"/>
        </w:numPr>
        <w:shd w:val="clear" w:color="auto" w:fill="FFFFFF"/>
        <w:spacing w:after="0" w:line="408" w:lineRule="auto"/>
        <w:rPr>
          <w:rFonts w:ascii="Century Gothic" w:eastAsia="Times New Roman" w:hAnsi="Century Gothic" w:cs="Calibri"/>
          <w:sz w:val="24"/>
          <w:szCs w:val="24"/>
          <w:lang w:eastAsia="en-GB"/>
        </w:rPr>
      </w:pPr>
      <w:r w:rsidRPr="00C5292C">
        <w:rPr>
          <w:rFonts w:ascii="Century Gothic" w:eastAsia="Times New Roman" w:hAnsi="Century Gothic" w:cs="Calibri"/>
          <w:sz w:val="24"/>
          <w:szCs w:val="24"/>
          <w:lang w:eastAsia="en-GB"/>
        </w:rPr>
        <w:t>Leaders organise regular training sessions focused on evidence-informed teaching practises that address the specific needs of St Gerard’s disadvantaged pupils, such as language development for EAL pupils (38.75%) and literacy interventions for those with low starting points.</w:t>
      </w:r>
    </w:p>
    <w:p w14:paraId="7F90F913" w14:textId="77777777" w:rsidR="00AB2DCC" w:rsidRPr="00C5292C" w:rsidRDefault="00AB2DCC" w:rsidP="00C5292C">
      <w:pPr>
        <w:pStyle w:val="ListParagraph"/>
        <w:numPr>
          <w:ilvl w:val="0"/>
          <w:numId w:val="11"/>
        </w:numPr>
        <w:shd w:val="clear" w:color="auto" w:fill="FFFFFF"/>
        <w:spacing w:after="0" w:line="408" w:lineRule="auto"/>
        <w:rPr>
          <w:rFonts w:ascii="Century Gothic" w:eastAsia="Times New Roman" w:hAnsi="Century Gothic" w:cs="Calibri"/>
          <w:sz w:val="24"/>
          <w:szCs w:val="24"/>
          <w:lang w:eastAsia="en-GB"/>
        </w:rPr>
      </w:pPr>
      <w:r w:rsidRPr="00C5292C">
        <w:rPr>
          <w:rFonts w:ascii="Century Gothic" w:eastAsia="Times New Roman" w:hAnsi="Century Gothic" w:cs="Calibri"/>
          <w:sz w:val="24"/>
          <w:szCs w:val="24"/>
          <w:lang w:eastAsia="en-GB"/>
        </w:rPr>
        <w:lastRenderedPageBreak/>
        <w:t>Teaching assistants and support staff receive targeted coaching to deliver interventions effectively, ensuring consistency and quality.</w:t>
      </w:r>
    </w:p>
    <w:p w14:paraId="77B038E6" w14:textId="77777777" w:rsidR="00AB2DCC" w:rsidRPr="00C5292C" w:rsidRDefault="00AB2DCC" w:rsidP="00C5292C">
      <w:pPr>
        <w:pStyle w:val="ListParagraph"/>
        <w:numPr>
          <w:ilvl w:val="0"/>
          <w:numId w:val="11"/>
        </w:numPr>
        <w:shd w:val="clear" w:color="auto" w:fill="FFFFFF"/>
        <w:spacing w:after="0" w:line="408" w:lineRule="auto"/>
        <w:rPr>
          <w:rFonts w:ascii="Century Gothic" w:eastAsia="Times New Roman" w:hAnsi="Century Gothic" w:cs="Calibri"/>
          <w:sz w:val="24"/>
          <w:szCs w:val="24"/>
          <w:lang w:eastAsia="en-GB"/>
        </w:rPr>
      </w:pPr>
      <w:r w:rsidRPr="00C5292C">
        <w:rPr>
          <w:rFonts w:ascii="Century Gothic" w:eastAsia="Times New Roman" w:hAnsi="Century Gothic" w:cs="Calibri"/>
          <w:sz w:val="24"/>
          <w:szCs w:val="24"/>
          <w:lang w:eastAsia="en-GB"/>
        </w:rPr>
        <w:t>New staff receive induction on the pupil premium strategy, embedding understanding and commitment from the start.</w:t>
      </w:r>
    </w:p>
    <w:p w14:paraId="3E83B814" w14:textId="77777777" w:rsidR="00AB2DCC" w:rsidRPr="00C5292C" w:rsidRDefault="00AB2DCC" w:rsidP="00C5292C">
      <w:pPr>
        <w:pStyle w:val="ListParagraph"/>
        <w:numPr>
          <w:ilvl w:val="0"/>
          <w:numId w:val="11"/>
        </w:numPr>
        <w:shd w:val="clear" w:color="auto" w:fill="FFFFFF"/>
        <w:spacing w:after="0" w:line="408" w:lineRule="auto"/>
        <w:rPr>
          <w:rFonts w:ascii="Century Gothic" w:eastAsia="Times New Roman" w:hAnsi="Century Gothic" w:cs="Calibri"/>
          <w:sz w:val="24"/>
          <w:szCs w:val="24"/>
          <w:lang w:eastAsia="en-GB"/>
        </w:rPr>
      </w:pPr>
      <w:r w:rsidRPr="00C5292C">
        <w:rPr>
          <w:rFonts w:ascii="Century Gothic" w:eastAsia="Times New Roman" w:hAnsi="Century Gothic" w:cs="Calibri"/>
          <w:sz w:val="24"/>
          <w:szCs w:val="24"/>
          <w:lang w:eastAsia="en-GB"/>
        </w:rPr>
        <w:t>Training is linked to whole-school priorities and the school improvement plan, reinforcing a collective responsibility ethos.</w:t>
      </w:r>
    </w:p>
    <w:p w14:paraId="5E39C017" w14:textId="77777777" w:rsidR="00AB2DCC" w:rsidRPr="00CD2682" w:rsidRDefault="00AB2DCC" w:rsidP="00AB2DCC">
      <w:pPr>
        <w:numPr>
          <w:ilvl w:val="0"/>
          <w:numId w:val="9"/>
        </w:numPr>
        <w:shd w:val="clear" w:color="auto" w:fill="FFFFFF"/>
        <w:spacing w:after="0" w:line="408" w:lineRule="auto"/>
        <w:rPr>
          <w:rFonts w:ascii="Century Gothic" w:eastAsia="Times New Roman" w:hAnsi="Century Gothic" w:cs="Calibri"/>
          <w:sz w:val="24"/>
          <w:szCs w:val="24"/>
          <w:lang w:eastAsia="en-GB"/>
        </w:rPr>
      </w:pPr>
      <w:r w:rsidRPr="00CD2682">
        <w:rPr>
          <w:rFonts w:ascii="Century Gothic" w:eastAsia="Times New Roman" w:hAnsi="Century Gothic" w:cs="Calibri"/>
          <w:sz w:val="24"/>
          <w:szCs w:val="24"/>
          <w:lang w:eastAsia="en-GB"/>
        </w:rPr>
        <w:t>Robust Monitoring and Data-Driven Review</w:t>
      </w:r>
    </w:p>
    <w:p w14:paraId="688B109D" w14:textId="77777777" w:rsidR="00AB2DCC" w:rsidRPr="00542D80" w:rsidRDefault="00AB2DCC" w:rsidP="00542D80">
      <w:pPr>
        <w:pStyle w:val="ListParagraph"/>
        <w:numPr>
          <w:ilvl w:val="0"/>
          <w:numId w:val="12"/>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Leaders implement a data tracking system that monitors the academic progress, attendance, and engagement of disadvantaged pupils (51.23% FSM, including those with social worker involvement).</w:t>
      </w:r>
    </w:p>
    <w:p w14:paraId="3A094435" w14:textId="77777777" w:rsidR="00AB2DCC" w:rsidRPr="00542D80" w:rsidRDefault="00AB2DCC" w:rsidP="00542D80">
      <w:pPr>
        <w:pStyle w:val="ListParagraph"/>
        <w:numPr>
          <w:ilvl w:val="0"/>
          <w:numId w:val="12"/>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Regular pupil progress meetings focus on disadvantaged pupils, reviewing the impact of interventions and adjusting provision as needed.</w:t>
      </w:r>
    </w:p>
    <w:p w14:paraId="108A71AF" w14:textId="5A5E3758" w:rsidR="00AB2DCC" w:rsidRPr="00542D80" w:rsidRDefault="00542D80" w:rsidP="00542D80">
      <w:pPr>
        <w:pStyle w:val="ListParagraph"/>
        <w:numPr>
          <w:ilvl w:val="0"/>
          <w:numId w:val="12"/>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Learning walks and book looks</w:t>
      </w:r>
      <w:r w:rsidR="00AB2DCC" w:rsidRPr="00542D80">
        <w:rPr>
          <w:rFonts w:ascii="Century Gothic" w:eastAsia="Times New Roman" w:hAnsi="Century Gothic" w:cs="Calibri"/>
          <w:sz w:val="24"/>
          <w:szCs w:val="24"/>
          <w:lang w:eastAsia="en-GB"/>
        </w:rPr>
        <w:t xml:space="preserve"> include a focus on how well teaching meets the needs of disadvantaged pupils.</w:t>
      </w:r>
    </w:p>
    <w:p w14:paraId="2A38048B" w14:textId="77777777" w:rsidR="00AB2DCC" w:rsidRPr="00542D80" w:rsidRDefault="00AB2DCC" w:rsidP="00542D80">
      <w:pPr>
        <w:pStyle w:val="ListParagraph"/>
        <w:numPr>
          <w:ilvl w:val="0"/>
          <w:numId w:val="12"/>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Staff are given time and opportunities to reflect on data and feedback, fostering a culture of continuous improvement.</w:t>
      </w:r>
    </w:p>
    <w:p w14:paraId="4213044A" w14:textId="77777777" w:rsidR="00AB2DCC" w:rsidRPr="00CD2682" w:rsidRDefault="00AB2DCC" w:rsidP="00AB2DCC">
      <w:pPr>
        <w:numPr>
          <w:ilvl w:val="0"/>
          <w:numId w:val="9"/>
        </w:numPr>
        <w:shd w:val="clear" w:color="auto" w:fill="FFFFFF"/>
        <w:spacing w:after="0" w:line="408" w:lineRule="auto"/>
        <w:rPr>
          <w:rFonts w:ascii="Century Gothic" w:eastAsia="Times New Roman" w:hAnsi="Century Gothic" w:cs="Calibri"/>
          <w:sz w:val="24"/>
          <w:szCs w:val="24"/>
          <w:lang w:eastAsia="en-GB"/>
        </w:rPr>
      </w:pPr>
      <w:r w:rsidRPr="00CD2682">
        <w:rPr>
          <w:rFonts w:ascii="Century Gothic" w:eastAsia="Times New Roman" w:hAnsi="Century Gothic" w:cs="Calibri"/>
          <w:sz w:val="24"/>
          <w:szCs w:val="24"/>
          <w:lang w:eastAsia="en-GB"/>
        </w:rPr>
        <w:t>Supporting Staff Wellbeing and Engagement</w:t>
      </w:r>
    </w:p>
    <w:p w14:paraId="6E9862C5" w14:textId="77777777" w:rsidR="00AB2DCC" w:rsidRPr="00542D80" w:rsidRDefault="00AB2DCC" w:rsidP="00542D80">
      <w:pPr>
        <w:pStyle w:val="ListParagraph"/>
        <w:numPr>
          <w:ilvl w:val="0"/>
          <w:numId w:val="13"/>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Leaders actively support staff wellbeing during the implementation phase by involving them in decision-making and providing collaborative planning time.</w:t>
      </w:r>
    </w:p>
    <w:p w14:paraId="6712223D" w14:textId="77777777" w:rsidR="00AB2DCC" w:rsidRPr="00542D80" w:rsidRDefault="00AB2DCC" w:rsidP="00542D80">
      <w:pPr>
        <w:pStyle w:val="ListParagraph"/>
        <w:numPr>
          <w:ilvl w:val="0"/>
          <w:numId w:val="13"/>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lastRenderedPageBreak/>
        <w:t>Realistic goals are set to manage workload and maintain motivation.</w:t>
      </w:r>
    </w:p>
    <w:p w14:paraId="3DB875F9" w14:textId="77777777" w:rsidR="00AB2DCC" w:rsidRPr="00542D80" w:rsidRDefault="00AB2DCC" w:rsidP="00542D80">
      <w:pPr>
        <w:pStyle w:val="ListParagraph"/>
        <w:numPr>
          <w:ilvl w:val="0"/>
          <w:numId w:val="13"/>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Ongoing communication reinforces the importance of the strategy and how every staff member contributes to closing the attainment gap.</w:t>
      </w:r>
    </w:p>
    <w:p w14:paraId="689295F0" w14:textId="77777777" w:rsidR="00AB2DCC" w:rsidRPr="00CD2682" w:rsidRDefault="00AB2DCC" w:rsidP="00AB2DCC">
      <w:pPr>
        <w:numPr>
          <w:ilvl w:val="0"/>
          <w:numId w:val="9"/>
        </w:numPr>
        <w:shd w:val="clear" w:color="auto" w:fill="FFFFFF"/>
        <w:spacing w:after="0" w:line="408" w:lineRule="auto"/>
        <w:rPr>
          <w:rFonts w:ascii="Century Gothic" w:eastAsia="Times New Roman" w:hAnsi="Century Gothic" w:cs="Calibri"/>
          <w:sz w:val="24"/>
          <w:szCs w:val="24"/>
          <w:lang w:eastAsia="en-GB"/>
        </w:rPr>
      </w:pPr>
      <w:r w:rsidRPr="00CD2682">
        <w:rPr>
          <w:rFonts w:ascii="Century Gothic" w:eastAsia="Times New Roman" w:hAnsi="Century Gothic" w:cs="Calibri"/>
          <w:sz w:val="24"/>
          <w:szCs w:val="24"/>
          <w:lang w:eastAsia="en-GB"/>
        </w:rPr>
        <w:t>Integration with Curriculum and Whole-School Approach</w:t>
      </w:r>
    </w:p>
    <w:p w14:paraId="5A8F1923" w14:textId="77777777" w:rsidR="00AB2DCC" w:rsidRPr="00542D80" w:rsidRDefault="00AB2DCC" w:rsidP="00542D80">
      <w:pPr>
        <w:pStyle w:val="ListParagraph"/>
        <w:numPr>
          <w:ilvl w:val="0"/>
          <w:numId w:val="14"/>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Targeted support is scheduled to avoid pupils missing core curriculum content.</w:t>
      </w:r>
    </w:p>
    <w:p w14:paraId="3EC444B5" w14:textId="77777777" w:rsidR="00AB2DCC" w:rsidRPr="00542D80" w:rsidRDefault="00AB2DCC" w:rsidP="00542D80">
      <w:pPr>
        <w:pStyle w:val="ListParagraph"/>
        <w:numPr>
          <w:ilvl w:val="0"/>
          <w:numId w:val="14"/>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The pupil premium strategy is aligned with other school improvement documents to ensure a coherent approach.</w:t>
      </w:r>
    </w:p>
    <w:p w14:paraId="0A8CAA4D" w14:textId="77777777" w:rsidR="00AB2DCC" w:rsidRPr="00542D80" w:rsidRDefault="00AB2DCC" w:rsidP="00542D80">
      <w:pPr>
        <w:pStyle w:val="ListParagraph"/>
        <w:numPr>
          <w:ilvl w:val="0"/>
          <w:numId w:val="14"/>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Leaders promote a whole-school culture where addressing disadvantage is a shared responsibility.</w:t>
      </w:r>
    </w:p>
    <w:p w14:paraId="516DF795" w14:textId="77777777" w:rsidR="00AB2DCC" w:rsidRPr="00CD2682" w:rsidRDefault="00AB2DCC" w:rsidP="00AB2DCC">
      <w:pPr>
        <w:numPr>
          <w:ilvl w:val="0"/>
          <w:numId w:val="9"/>
        </w:numPr>
        <w:shd w:val="clear" w:color="auto" w:fill="FFFFFF"/>
        <w:spacing w:after="0" w:line="408" w:lineRule="auto"/>
        <w:rPr>
          <w:rFonts w:ascii="Century Gothic" w:eastAsia="Times New Roman" w:hAnsi="Century Gothic" w:cs="Calibri"/>
          <w:sz w:val="24"/>
          <w:szCs w:val="24"/>
          <w:lang w:eastAsia="en-GB"/>
        </w:rPr>
      </w:pPr>
      <w:r w:rsidRPr="00CD2682">
        <w:rPr>
          <w:rFonts w:ascii="Century Gothic" w:eastAsia="Times New Roman" w:hAnsi="Century Gothic" w:cs="Calibri"/>
          <w:sz w:val="24"/>
          <w:szCs w:val="24"/>
          <w:lang w:eastAsia="en-GB"/>
        </w:rPr>
        <w:t>Engagement with External Partners</w:t>
      </w:r>
    </w:p>
    <w:p w14:paraId="02BFDE08" w14:textId="77777777" w:rsidR="00AB2DCC" w:rsidRPr="00542D80" w:rsidRDefault="00AB2DCC" w:rsidP="00542D80">
      <w:pPr>
        <w:pStyle w:val="ListParagraph"/>
        <w:numPr>
          <w:ilvl w:val="0"/>
          <w:numId w:val="15"/>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Where appropriate, leaders consult external partners such as the Virtual School Head and local authority services to support pupils with additional needs (e.g., LAC, pupils with social workers).</w:t>
      </w:r>
    </w:p>
    <w:p w14:paraId="15B596A6" w14:textId="77777777" w:rsidR="00AB2DCC" w:rsidRDefault="00AB2DCC" w:rsidP="00542D80">
      <w:pPr>
        <w:pStyle w:val="ListParagraph"/>
        <w:numPr>
          <w:ilvl w:val="0"/>
          <w:numId w:val="15"/>
        </w:num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sz w:val="24"/>
          <w:szCs w:val="24"/>
          <w:lang w:eastAsia="en-GB"/>
        </w:rPr>
        <w:t>This ensures that the strategy is responsive to the broader needs of disadvantaged pupils.</w:t>
      </w:r>
    </w:p>
    <w:p w14:paraId="7F8C9DEB" w14:textId="77777777" w:rsidR="00D2702D" w:rsidRDefault="00D2702D" w:rsidP="00AB2DCC">
      <w:pPr>
        <w:shd w:val="clear" w:color="auto" w:fill="FFFFFF"/>
        <w:spacing w:after="0" w:line="408" w:lineRule="auto"/>
        <w:rPr>
          <w:rFonts w:ascii="Century Gothic" w:eastAsia="Times New Roman" w:hAnsi="Century Gothic" w:cs="Calibri"/>
          <w:b/>
          <w:bCs/>
          <w:sz w:val="24"/>
          <w:szCs w:val="24"/>
          <w:u w:val="single"/>
          <w:lang w:eastAsia="en-GB"/>
        </w:rPr>
      </w:pPr>
    </w:p>
    <w:p w14:paraId="3C8E543C" w14:textId="77777777" w:rsidR="00D2702D" w:rsidRDefault="00D2702D" w:rsidP="00AB2DCC">
      <w:pPr>
        <w:shd w:val="clear" w:color="auto" w:fill="FFFFFF"/>
        <w:spacing w:after="0" w:line="408" w:lineRule="auto"/>
        <w:rPr>
          <w:rFonts w:ascii="Century Gothic" w:eastAsia="Times New Roman" w:hAnsi="Century Gothic" w:cs="Calibri"/>
          <w:b/>
          <w:bCs/>
          <w:sz w:val="24"/>
          <w:szCs w:val="24"/>
          <w:u w:val="single"/>
          <w:lang w:eastAsia="en-GB"/>
        </w:rPr>
      </w:pPr>
    </w:p>
    <w:p w14:paraId="7C43A810" w14:textId="77777777" w:rsidR="00D2702D" w:rsidRDefault="00D2702D" w:rsidP="00AB2DCC">
      <w:pPr>
        <w:shd w:val="clear" w:color="auto" w:fill="FFFFFF"/>
        <w:spacing w:after="0" w:line="408" w:lineRule="auto"/>
        <w:rPr>
          <w:rFonts w:ascii="Century Gothic" w:eastAsia="Times New Roman" w:hAnsi="Century Gothic" w:cs="Calibri"/>
          <w:b/>
          <w:bCs/>
          <w:sz w:val="24"/>
          <w:szCs w:val="24"/>
          <w:u w:val="single"/>
          <w:lang w:eastAsia="en-GB"/>
        </w:rPr>
      </w:pPr>
    </w:p>
    <w:p w14:paraId="15D37710" w14:textId="77777777" w:rsidR="00D2702D" w:rsidRDefault="00D2702D" w:rsidP="00AB2DCC">
      <w:pPr>
        <w:shd w:val="clear" w:color="auto" w:fill="FFFFFF"/>
        <w:spacing w:after="0" w:line="408" w:lineRule="auto"/>
        <w:rPr>
          <w:rFonts w:ascii="Century Gothic" w:eastAsia="Times New Roman" w:hAnsi="Century Gothic" w:cs="Calibri"/>
          <w:b/>
          <w:bCs/>
          <w:sz w:val="24"/>
          <w:szCs w:val="24"/>
          <w:u w:val="single"/>
          <w:lang w:eastAsia="en-GB"/>
        </w:rPr>
      </w:pPr>
    </w:p>
    <w:p w14:paraId="3767157B" w14:textId="77777777" w:rsidR="00D2702D" w:rsidRDefault="00D2702D" w:rsidP="00AB2DCC">
      <w:pPr>
        <w:shd w:val="clear" w:color="auto" w:fill="FFFFFF"/>
        <w:spacing w:after="0" w:line="408" w:lineRule="auto"/>
        <w:rPr>
          <w:rFonts w:ascii="Century Gothic" w:eastAsia="Times New Roman" w:hAnsi="Century Gothic" w:cs="Calibri"/>
          <w:b/>
          <w:bCs/>
          <w:sz w:val="24"/>
          <w:szCs w:val="24"/>
          <w:u w:val="single"/>
          <w:lang w:eastAsia="en-GB"/>
        </w:rPr>
      </w:pPr>
    </w:p>
    <w:p w14:paraId="5C2EF2ED" w14:textId="77777777" w:rsidR="00D2702D" w:rsidRDefault="00D2702D" w:rsidP="00AB2DCC">
      <w:pPr>
        <w:shd w:val="clear" w:color="auto" w:fill="FFFFFF"/>
        <w:spacing w:after="0" w:line="408" w:lineRule="auto"/>
        <w:rPr>
          <w:rFonts w:ascii="Century Gothic" w:eastAsia="Times New Roman" w:hAnsi="Century Gothic" w:cs="Calibri"/>
          <w:b/>
          <w:bCs/>
          <w:sz w:val="24"/>
          <w:szCs w:val="24"/>
          <w:u w:val="single"/>
          <w:lang w:eastAsia="en-GB"/>
        </w:rPr>
      </w:pPr>
    </w:p>
    <w:p w14:paraId="14D0E1D9" w14:textId="08AFD299" w:rsidR="00AB2DCC" w:rsidRPr="00D2702D" w:rsidRDefault="00AB2DCC" w:rsidP="00AB2DCC">
      <w:pPr>
        <w:shd w:val="clear" w:color="auto" w:fill="FFFFFF"/>
        <w:spacing w:after="0" w:line="408" w:lineRule="auto"/>
        <w:rPr>
          <w:rFonts w:ascii="Century Gothic" w:eastAsia="Times New Roman" w:hAnsi="Century Gothic" w:cs="Calibri"/>
          <w:sz w:val="24"/>
          <w:szCs w:val="24"/>
          <w:lang w:eastAsia="en-GB"/>
        </w:rPr>
      </w:pPr>
      <w:r w:rsidRPr="00542D80">
        <w:rPr>
          <w:rFonts w:ascii="Century Gothic" w:eastAsia="Times New Roman" w:hAnsi="Century Gothic" w:cs="Calibri"/>
          <w:b/>
          <w:bCs/>
          <w:sz w:val="24"/>
          <w:szCs w:val="24"/>
          <w:u w:val="single"/>
          <w:lang w:eastAsia="en-GB"/>
        </w:rPr>
        <w:lastRenderedPageBreak/>
        <w:t>Summary</w:t>
      </w:r>
    </w:p>
    <w:tbl>
      <w:tblPr>
        <w:tblpPr w:leftFromText="180" w:rightFromText="180" w:vertAnchor="page" w:horzAnchor="margin" w:tblpY="4576"/>
        <w:tblW w:w="12653" w:type="dxa"/>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823"/>
        <w:gridCol w:w="6"/>
        <w:gridCol w:w="1019"/>
        <w:gridCol w:w="1906"/>
        <w:gridCol w:w="1683"/>
        <w:gridCol w:w="1443"/>
        <w:gridCol w:w="1683"/>
        <w:gridCol w:w="1745"/>
        <w:gridCol w:w="1094"/>
        <w:gridCol w:w="1251"/>
      </w:tblGrid>
      <w:tr w:rsidR="006C6C2C" w:rsidRPr="00B2177B" w14:paraId="3AB86B0A" w14:textId="77777777" w:rsidTr="006C6C2C">
        <w:trPr>
          <w:trHeight w:val="978"/>
          <w:tblHeader/>
        </w:trPr>
        <w:tc>
          <w:tcPr>
            <w:tcW w:w="829" w:type="dxa"/>
            <w:gridSpan w:val="2"/>
            <w:tcBorders>
              <w:right w:val="single" w:sz="4" w:space="0" w:color="auto"/>
            </w:tcBorders>
            <w:shd w:val="clear" w:color="auto" w:fill="FFFFFF"/>
            <w:tcMar>
              <w:top w:w="225" w:type="dxa"/>
              <w:left w:w="225" w:type="dxa"/>
              <w:bottom w:w="225" w:type="dxa"/>
              <w:right w:w="225" w:type="dxa"/>
            </w:tcMar>
            <w:hideMark/>
          </w:tcPr>
          <w:p w14:paraId="7961BAAF" w14:textId="77777777" w:rsidR="006E4694" w:rsidRPr="00B2177B" w:rsidRDefault="006E4694" w:rsidP="00D2702D">
            <w:pPr>
              <w:spacing w:after="160" w:line="278" w:lineRule="auto"/>
              <w:rPr>
                <w:b/>
                <w:bCs/>
                <w:sz w:val="20"/>
                <w:szCs w:val="20"/>
              </w:rPr>
            </w:pPr>
            <w:r w:rsidRPr="00B2177B">
              <w:rPr>
                <w:b/>
                <w:bCs/>
                <w:sz w:val="20"/>
                <w:szCs w:val="20"/>
              </w:rPr>
              <w:t>Year</w:t>
            </w:r>
          </w:p>
        </w:tc>
        <w:tc>
          <w:tcPr>
            <w:tcW w:w="1019" w:type="dxa"/>
            <w:tcBorders>
              <w:left w:val="single" w:sz="4" w:space="0" w:color="auto"/>
              <w:right w:val="single" w:sz="4" w:space="0" w:color="auto"/>
            </w:tcBorders>
            <w:shd w:val="clear" w:color="auto" w:fill="FFFFFF"/>
            <w:tcMar>
              <w:top w:w="225" w:type="dxa"/>
              <w:left w:w="225" w:type="dxa"/>
              <w:bottom w:w="225" w:type="dxa"/>
              <w:right w:w="225" w:type="dxa"/>
            </w:tcMar>
            <w:hideMark/>
          </w:tcPr>
          <w:p w14:paraId="3543CDCD" w14:textId="77777777" w:rsidR="006E4694" w:rsidRPr="00B2177B" w:rsidRDefault="006E4694" w:rsidP="00D2702D">
            <w:pPr>
              <w:spacing w:after="160" w:line="278" w:lineRule="auto"/>
              <w:rPr>
                <w:b/>
                <w:bCs/>
                <w:sz w:val="20"/>
                <w:szCs w:val="20"/>
              </w:rPr>
            </w:pPr>
            <w:r w:rsidRPr="00B2177B">
              <w:rPr>
                <w:b/>
                <w:bCs/>
                <w:sz w:val="20"/>
                <w:szCs w:val="20"/>
              </w:rPr>
              <w:t>Cohort Size</w:t>
            </w:r>
          </w:p>
        </w:tc>
        <w:tc>
          <w:tcPr>
            <w:tcW w:w="1906" w:type="dxa"/>
            <w:tcBorders>
              <w:left w:val="single" w:sz="4" w:space="0" w:color="auto"/>
              <w:right w:val="single" w:sz="4" w:space="0" w:color="auto"/>
            </w:tcBorders>
            <w:shd w:val="clear" w:color="auto" w:fill="FFFFFF"/>
            <w:tcMar>
              <w:top w:w="225" w:type="dxa"/>
              <w:left w:w="225" w:type="dxa"/>
              <w:bottom w:w="225" w:type="dxa"/>
              <w:right w:w="225" w:type="dxa"/>
            </w:tcMar>
            <w:hideMark/>
          </w:tcPr>
          <w:p w14:paraId="053AFFA0" w14:textId="77777777" w:rsidR="006E4694" w:rsidRPr="00B2177B" w:rsidRDefault="006E4694" w:rsidP="00D2702D">
            <w:pPr>
              <w:spacing w:after="160" w:line="278" w:lineRule="auto"/>
              <w:rPr>
                <w:b/>
                <w:bCs/>
                <w:sz w:val="20"/>
                <w:szCs w:val="20"/>
              </w:rPr>
            </w:pPr>
            <w:r w:rsidRPr="00B2177B">
              <w:rPr>
                <w:b/>
                <w:bCs/>
                <w:sz w:val="20"/>
                <w:szCs w:val="20"/>
              </w:rPr>
              <w:t>School Disadvantaged %</w:t>
            </w:r>
          </w:p>
        </w:tc>
        <w:tc>
          <w:tcPr>
            <w:tcW w:w="0" w:type="auto"/>
            <w:tcBorders>
              <w:left w:val="single" w:sz="4" w:space="0" w:color="auto"/>
              <w:right w:val="single" w:sz="4" w:space="0" w:color="auto"/>
            </w:tcBorders>
            <w:shd w:val="clear" w:color="auto" w:fill="FFFFFF"/>
            <w:tcMar>
              <w:top w:w="225" w:type="dxa"/>
              <w:left w:w="225" w:type="dxa"/>
              <w:bottom w:w="225" w:type="dxa"/>
              <w:right w:w="225" w:type="dxa"/>
            </w:tcMar>
            <w:hideMark/>
          </w:tcPr>
          <w:p w14:paraId="436D61E9" w14:textId="77777777" w:rsidR="006E4694" w:rsidRPr="00B2177B" w:rsidRDefault="006E4694" w:rsidP="00D2702D">
            <w:pPr>
              <w:spacing w:after="160" w:line="278" w:lineRule="auto"/>
              <w:rPr>
                <w:b/>
                <w:bCs/>
                <w:sz w:val="20"/>
                <w:szCs w:val="20"/>
              </w:rPr>
            </w:pPr>
            <w:r w:rsidRPr="00B2177B">
              <w:rPr>
                <w:b/>
                <w:bCs/>
                <w:sz w:val="20"/>
                <w:szCs w:val="20"/>
              </w:rPr>
              <w:t>National Disadvantaged %</w:t>
            </w:r>
          </w:p>
        </w:tc>
        <w:tc>
          <w:tcPr>
            <w:tcW w:w="0" w:type="auto"/>
            <w:tcBorders>
              <w:left w:val="single" w:sz="4" w:space="0" w:color="auto"/>
              <w:right w:val="single" w:sz="4" w:space="0" w:color="auto"/>
            </w:tcBorders>
            <w:shd w:val="clear" w:color="auto" w:fill="FFFFFF"/>
            <w:tcMar>
              <w:top w:w="225" w:type="dxa"/>
              <w:left w:w="225" w:type="dxa"/>
              <w:bottom w:w="225" w:type="dxa"/>
              <w:right w:w="225" w:type="dxa"/>
            </w:tcMar>
            <w:hideMark/>
          </w:tcPr>
          <w:p w14:paraId="5651F7BE" w14:textId="77777777" w:rsidR="006E4694" w:rsidRPr="00B2177B" w:rsidRDefault="006E4694" w:rsidP="00D2702D">
            <w:pPr>
              <w:spacing w:after="160" w:line="278" w:lineRule="auto"/>
              <w:rPr>
                <w:b/>
                <w:bCs/>
                <w:sz w:val="20"/>
                <w:szCs w:val="20"/>
              </w:rPr>
            </w:pPr>
            <w:r w:rsidRPr="00B2177B">
              <w:rPr>
                <w:b/>
                <w:bCs/>
                <w:sz w:val="20"/>
                <w:szCs w:val="20"/>
              </w:rPr>
              <w:t>National Distribution Banding</w:t>
            </w:r>
          </w:p>
        </w:tc>
        <w:tc>
          <w:tcPr>
            <w:tcW w:w="0" w:type="auto"/>
            <w:tcBorders>
              <w:left w:val="single" w:sz="4" w:space="0" w:color="auto"/>
              <w:right w:val="single" w:sz="4" w:space="0" w:color="auto"/>
            </w:tcBorders>
            <w:shd w:val="clear" w:color="auto" w:fill="FFFFFF"/>
            <w:tcMar>
              <w:top w:w="225" w:type="dxa"/>
              <w:left w:w="225" w:type="dxa"/>
              <w:bottom w:w="225" w:type="dxa"/>
              <w:right w:w="225" w:type="dxa"/>
            </w:tcMar>
            <w:hideMark/>
          </w:tcPr>
          <w:p w14:paraId="219A1489" w14:textId="77777777" w:rsidR="006E4694" w:rsidRPr="00B2177B" w:rsidRDefault="006E4694" w:rsidP="00D2702D">
            <w:pPr>
              <w:spacing w:after="160" w:line="278" w:lineRule="auto"/>
              <w:rPr>
                <w:b/>
                <w:bCs/>
                <w:sz w:val="20"/>
                <w:szCs w:val="20"/>
              </w:rPr>
            </w:pPr>
            <w:r w:rsidRPr="00B2177B">
              <w:rPr>
                <w:b/>
                <w:bCs/>
                <w:sz w:val="20"/>
                <w:szCs w:val="20"/>
              </w:rPr>
              <w:t xml:space="preserve">National </w:t>
            </w:r>
            <w:proofErr w:type="gramStart"/>
            <w:r w:rsidRPr="00B2177B">
              <w:rPr>
                <w:b/>
                <w:bCs/>
                <w:sz w:val="20"/>
                <w:szCs w:val="20"/>
              </w:rPr>
              <w:t>Non-Disadvantaged</w:t>
            </w:r>
            <w:proofErr w:type="gramEnd"/>
            <w:r w:rsidRPr="00B2177B">
              <w:rPr>
                <w:b/>
                <w:bCs/>
                <w:sz w:val="20"/>
                <w:szCs w:val="20"/>
              </w:rPr>
              <w:t xml:space="preserve"> %</w:t>
            </w:r>
          </w:p>
        </w:tc>
        <w:tc>
          <w:tcPr>
            <w:tcW w:w="0" w:type="auto"/>
            <w:tcBorders>
              <w:left w:val="single" w:sz="4" w:space="0" w:color="auto"/>
              <w:right w:val="single" w:sz="4" w:space="0" w:color="auto"/>
            </w:tcBorders>
            <w:shd w:val="clear" w:color="auto" w:fill="FFFFFF"/>
            <w:tcMar>
              <w:top w:w="225" w:type="dxa"/>
              <w:left w:w="225" w:type="dxa"/>
              <w:bottom w:w="225" w:type="dxa"/>
              <w:right w:w="225" w:type="dxa"/>
            </w:tcMar>
            <w:hideMark/>
          </w:tcPr>
          <w:p w14:paraId="2F127D73" w14:textId="77777777" w:rsidR="006E4694" w:rsidRPr="00B2177B" w:rsidRDefault="006E4694" w:rsidP="00D2702D">
            <w:pPr>
              <w:spacing w:after="160" w:line="278" w:lineRule="auto"/>
              <w:rPr>
                <w:b/>
                <w:bCs/>
                <w:sz w:val="20"/>
                <w:szCs w:val="20"/>
              </w:rPr>
            </w:pPr>
            <w:r w:rsidRPr="00B2177B">
              <w:rPr>
                <w:b/>
                <w:bCs/>
                <w:sz w:val="20"/>
                <w:szCs w:val="20"/>
              </w:rPr>
              <w:t xml:space="preserve">Gap (School vs </w:t>
            </w:r>
            <w:proofErr w:type="gramStart"/>
            <w:r w:rsidRPr="00B2177B">
              <w:rPr>
                <w:b/>
                <w:bCs/>
                <w:sz w:val="20"/>
                <w:szCs w:val="20"/>
              </w:rPr>
              <w:t>Non-Disadvantaged</w:t>
            </w:r>
            <w:proofErr w:type="gramEnd"/>
            <w:r w:rsidRPr="00B2177B">
              <w:rPr>
                <w:b/>
                <w:bCs/>
                <w:sz w:val="20"/>
                <w:szCs w:val="20"/>
              </w:rPr>
              <w:t>)</w:t>
            </w:r>
          </w:p>
        </w:tc>
        <w:tc>
          <w:tcPr>
            <w:tcW w:w="0" w:type="auto"/>
            <w:tcBorders>
              <w:left w:val="single" w:sz="4" w:space="0" w:color="auto"/>
              <w:right w:val="single" w:sz="4" w:space="0" w:color="auto"/>
            </w:tcBorders>
            <w:shd w:val="clear" w:color="auto" w:fill="FFFFFF"/>
            <w:tcMar>
              <w:top w:w="225" w:type="dxa"/>
              <w:left w:w="225" w:type="dxa"/>
              <w:bottom w:w="225" w:type="dxa"/>
              <w:right w:w="225" w:type="dxa"/>
            </w:tcMar>
            <w:hideMark/>
          </w:tcPr>
          <w:p w14:paraId="736368A9" w14:textId="77777777" w:rsidR="006E4694" w:rsidRPr="00B2177B" w:rsidRDefault="006E4694" w:rsidP="00D2702D">
            <w:pPr>
              <w:spacing w:after="160" w:line="278" w:lineRule="auto"/>
              <w:rPr>
                <w:b/>
                <w:bCs/>
              </w:rPr>
            </w:pPr>
            <w:r w:rsidRPr="00B2177B">
              <w:rPr>
                <w:b/>
                <w:bCs/>
              </w:rPr>
              <w:t>Gap Trend</w:t>
            </w:r>
          </w:p>
        </w:tc>
        <w:tc>
          <w:tcPr>
            <w:tcW w:w="0" w:type="auto"/>
            <w:tcBorders>
              <w:left w:val="single" w:sz="4" w:space="0" w:color="auto"/>
            </w:tcBorders>
            <w:shd w:val="clear" w:color="auto" w:fill="FFFFFF"/>
            <w:tcMar>
              <w:top w:w="225" w:type="dxa"/>
              <w:left w:w="225" w:type="dxa"/>
              <w:bottom w:w="225" w:type="dxa"/>
              <w:right w:w="225" w:type="dxa"/>
            </w:tcMar>
            <w:hideMark/>
          </w:tcPr>
          <w:p w14:paraId="47B30AF6" w14:textId="77777777" w:rsidR="006E4694" w:rsidRPr="00B2177B" w:rsidRDefault="006E4694" w:rsidP="00D2702D">
            <w:pPr>
              <w:spacing w:after="160" w:line="278" w:lineRule="auto"/>
              <w:rPr>
                <w:b/>
                <w:bCs/>
              </w:rPr>
            </w:pPr>
            <w:r w:rsidRPr="00B2177B">
              <w:rPr>
                <w:b/>
                <w:bCs/>
              </w:rPr>
              <w:t>Year Group Context</w:t>
            </w:r>
          </w:p>
        </w:tc>
      </w:tr>
      <w:tr w:rsidR="006C6C2C" w:rsidRPr="00B2177B" w14:paraId="5A5EBE22" w14:textId="77777777" w:rsidTr="006C6C2C">
        <w:trPr>
          <w:trHeight w:val="679"/>
        </w:trPr>
        <w:tc>
          <w:tcPr>
            <w:tcW w:w="823"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FEF3925" w14:textId="77777777" w:rsidR="006E4694" w:rsidRPr="00B2177B" w:rsidRDefault="006E4694" w:rsidP="00D2702D">
            <w:pPr>
              <w:spacing w:after="160" w:line="278" w:lineRule="auto"/>
              <w:rPr>
                <w:sz w:val="20"/>
                <w:szCs w:val="20"/>
              </w:rPr>
            </w:pPr>
            <w:r w:rsidRPr="00B2177B">
              <w:rPr>
                <w:sz w:val="20"/>
                <w:szCs w:val="20"/>
              </w:rPr>
              <w:t>3-year</w:t>
            </w:r>
          </w:p>
        </w:tc>
        <w:tc>
          <w:tcPr>
            <w:tcW w:w="1025" w:type="dxa"/>
            <w:gridSpan w:val="2"/>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7702A77" w14:textId="77777777" w:rsidR="006E4694" w:rsidRPr="00B2177B" w:rsidRDefault="006E4694" w:rsidP="00D2702D">
            <w:pPr>
              <w:spacing w:after="160" w:line="278" w:lineRule="auto"/>
              <w:rPr>
                <w:sz w:val="20"/>
                <w:szCs w:val="20"/>
              </w:rPr>
            </w:pPr>
            <w:r w:rsidRPr="00B2177B">
              <w:rPr>
                <w:sz w:val="20"/>
                <w:szCs w:val="20"/>
              </w:rPr>
              <w:t>51</w:t>
            </w:r>
          </w:p>
        </w:tc>
        <w:tc>
          <w:tcPr>
            <w:tcW w:w="1906"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519F1E6" w14:textId="77777777" w:rsidR="006E4694" w:rsidRPr="00B2177B" w:rsidRDefault="006E4694" w:rsidP="00D2702D">
            <w:pPr>
              <w:spacing w:after="160" w:line="278" w:lineRule="auto"/>
              <w:rPr>
                <w:sz w:val="20"/>
                <w:szCs w:val="20"/>
              </w:rPr>
            </w:pPr>
            <w:r w:rsidRPr="00B2177B">
              <w:rPr>
                <w:sz w:val="20"/>
                <w:szCs w:val="20"/>
              </w:rPr>
              <w:t>61%</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F61AFCA" w14:textId="77777777" w:rsidR="006E4694" w:rsidRPr="00B2177B" w:rsidRDefault="006E4694" w:rsidP="00D2702D">
            <w:pPr>
              <w:spacing w:after="160" w:line="278" w:lineRule="auto"/>
              <w:rPr>
                <w:sz w:val="20"/>
                <w:szCs w:val="20"/>
              </w:rPr>
            </w:pPr>
            <w:r w:rsidRPr="00B2177B">
              <w:rPr>
                <w:sz w:val="20"/>
                <w:szCs w:val="20"/>
              </w:rPr>
              <w:t>46%</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1A1AACF" w14:textId="77777777" w:rsidR="006E4694" w:rsidRPr="00B2177B" w:rsidRDefault="006E4694" w:rsidP="00D2702D">
            <w:pPr>
              <w:spacing w:after="160" w:line="278" w:lineRule="auto"/>
              <w:rPr>
                <w:sz w:val="20"/>
                <w:szCs w:val="20"/>
              </w:rPr>
            </w:pPr>
            <w:r w:rsidRPr="00B2177B">
              <w:rPr>
                <w:sz w:val="20"/>
                <w:szCs w:val="20"/>
              </w:rPr>
              <w:t>Above (significant positive)</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222732F" w14:textId="77777777" w:rsidR="006E4694" w:rsidRPr="00B2177B" w:rsidRDefault="006E4694" w:rsidP="00D2702D">
            <w:pPr>
              <w:spacing w:after="160" w:line="278" w:lineRule="auto"/>
              <w:rPr>
                <w:sz w:val="20"/>
                <w:szCs w:val="20"/>
              </w:rPr>
            </w:pPr>
            <w:r w:rsidRPr="00B2177B">
              <w:rPr>
                <w:sz w:val="20"/>
                <w:szCs w:val="20"/>
              </w:rPr>
              <w:t>68%</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EA99D73" w14:textId="77777777" w:rsidR="006E4694" w:rsidRPr="00B2177B" w:rsidRDefault="006E4694" w:rsidP="00D2702D">
            <w:pPr>
              <w:spacing w:after="160" w:line="278" w:lineRule="auto"/>
              <w:rPr>
                <w:sz w:val="20"/>
                <w:szCs w:val="20"/>
              </w:rPr>
            </w:pPr>
            <w:r w:rsidRPr="00B2177B">
              <w:rPr>
                <w:sz w:val="20"/>
                <w:szCs w:val="20"/>
              </w:rPr>
              <w:t>-7</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C0A4623" w14:textId="77777777" w:rsidR="006E4694" w:rsidRPr="00B2177B" w:rsidRDefault="006E4694" w:rsidP="00D2702D">
            <w:pPr>
              <w:spacing w:after="160" w:line="278" w:lineRule="auto"/>
            </w:pPr>
            <w:r w:rsidRPr="00B2177B">
              <w:t>Not applicable</w:t>
            </w:r>
          </w:p>
        </w:tc>
        <w:tc>
          <w:tcPr>
            <w:tcW w:w="1251"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131B0F7" w14:textId="77777777" w:rsidR="006E4694" w:rsidRPr="00B2177B" w:rsidRDefault="006E4694" w:rsidP="00D2702D">
            <w:pPr>
              <w:spacing w:after="160" w:line="278" w:lineRule="auto"/>
            </w:pPr>
            <w:r w:rsidRPr="00B2177B">
              <w:t>Not applicable</w:t>
            </w:r>
          </w:p>
        </w:tc>
      </w:tr>
      <w:tr w:rsidR="006C6C2C" w:rsidRPr="00B2177B" w14:paraId="17153F61" w14:textId="77777777" w:rsidTr="006C6C2C">
        <w:trPr>
          <w:trHeight w:val="604"/>
        </w:trPr>
        <w:tc>
          <w:tcPr>
            <w:tcW w:w="823"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FB10659" w14:textId="77777777" w:rsidR="006E4694" w:rsidRPr="00B2177B" w:rsidRDefault="006E4694" w:rsidP="00D2702D">
            <w:pPr>
              <w:spacing w:after="160" w:line="278" w:lineRule="auto"/>
              <w:rPr>
                <w:sz w:val="20"/>
                <w:szCs w:val="20"/>
              </w:rPr>
            </w:pPr>
            <w:r w:rsidRPr="00B2177B">
              <w:rPr>
                <w:sz w:val="20"/>
                <w:szCs w:val="20"/>
              </w:rPr>
              <w:t>2025</w:t>
            </w:r>
          </w:p>
        </w:tc>
        <w:tc>
          <w:tcPr>
            <w:tcW w:w="1025" w:type="dxa"/>
            <w:gridSpan w:val="2"/>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54D8908" w14:textId="77777777" w:rsidR="006E4694" w:rsidRPr="00B2177B" w:rsidRDefault="006E4694" w:rsidP="00D2702D">
            <w:pPr>
              <w:spacing w:after="160" w:line="278" w:lineRule="auto"/>
              <w:rPr>
                <w:sz w:val="20"/>
                <w:szCs w:val="20"/>
              </w:rPr>
            </w:pPr>
            <w:r w:rsidRPr="00B2177B">
              <w:rPr>
                <w:sz w:val="20"/>
                <w:szCs w:val="20"/>
              </w:rPr>
              <w:t>17</w:t>
            </w:r>
          </w:p>
        </w:tc>
        <w:tc>
          <w:tcPr>
            <w:tcW w:w="1906"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A8EC5C2" w14:textId="77777777" w:rsidR="006E4694" w:rsidRPr="00B2177B" w:rsidRDefault="006E4694" w:rsidP="00D2702D">
            <w:pPr>
              <w:spacing w:after="160" w:line="278" w:lineRule="auto"/>
              <w:rPr>
                <w:sz w:val="20"/>
                <w:szCs w:val="20"/>
              </w:rPr>
            </w:pPr>
            <w:r w:rsidRPr="00B2177B">
              <w:rPr>
                <w:sz w:val="20"/>
                <w:szCs w:val="20"/>
              </w:rPr>
              <w:t>65%</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24572C0" w14:textId="77777777" w:rsidR="006E4694" w:rsidRPr="00B2177B" w:rsidRDefault="006E4694" w:rsidP="00D2702D">
            <w:pPr>
              <w:spacing w:after="160" w:line="278" w:lineRule="auto"/>
              <w:rPr>
                <w:sz w:val="20"/>
                <w:szCs w:val="20"/>
              </w:rPr>
            </w:pPr>
            <w:r w:rsidRPr="00B2177B">
              <w:rPr>
                <w:sz w:val="20"/>
                <w:szCs w:val="20"/>
              </w:rPr>
              <w:t>47%</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D501056" w14:textId="77777777" w:rsidR="006E4694" w:rsidRPr="00B2177B" w:rsidRDefault="006E4694" w:rsidP="00D2702D">
            <w:pPr>
              <w:spacing w:after="160" w:line="278" w:lineRule="auto"/>
              <w:rPr>
                <w:sz w:val="20"/>
                <w:szCs w:val="20"/>
              </w:rPr>
            </w:pPr>
            <w:r w:rsidRPr="00B2177B">
              <w:rPr>
                <w:sz w:val="20"/>
                <w:szCs w:val="20"/>
              </w:rPr>
              <w:t>Above (non-significant)</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38F6BE4" w14:textId="77777777" w:rsidR="006E4694" w:rsidRPr="00B2177B" w:rsidRDefault="006E4694" w:rsidP="00D2702D">
            <w:pPr>
              <w:spacing w:after="160" w:line="278" w:lineRule="auto"/>
              <w:rPr>
                <w:sz w:val="20"/>
                <w:szCs w:val="20"/>
              </w:rPr>
            </w:pPr>
            <w:r w:rsidRPr="00B2177B">
              <w:rPr>
                <w:sz w:val="20"/>
                <w:szCs w:val="20"/>
              </w:rPr>
              <w:t>69%</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02AC997" w14:textId="77777777" w:rsidR="006E4694" w:rsidRPr="00B2177B" w:rsidRDefault="006E4694" w:rsidP="00D2702D">
            <w:pPr>
              <w:spacing w:after="160" w:line="278" w:lineRule="auto"/>
              <w:rPr>
                <w:sz w:val="20"/>
                <w:szCs w:val="20"/>
              </w:rPr>
            </w:pPr>
            <w:r w:rsidRPr="00B2177B">
              <w:rPr>
                <w:sz w:val="20"/>
                <w:szCs w:val="20"/>
              </w:rPr>
              <w:t>-4</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48495CD" w14:textId="77777777" w:rsidR="006E4694" w:rsidRPr="00B2177B" w:rsidRDefault="006E4694" w:rsidP="00D2702D">
            <w:pPr>
              <w:spacing w:after="160" w:line="278" w:lineRule="auto"/>
            </w:pPr>
            <w:r w:rsidRPr="00B2177B">
              <w:t>Widening</w:t>
            </w:r>
          </w:p>
        </w:tc>
        <w:tc>
          <w:tcPr>
            <w:tcW w:w="1251"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D739B2F" w14:textId="77777777" w:rsidR="006E4694" w:rsidRPr="00B2177B" w:rsidRDefault="006E4694" w:rsidP="00D2702D">
            <w:pPr>
              <w:spacing w:after="160" w:line="278" w:lineRule="auto"/>
            </w:pPr>
            <w:r w:rsidRPr="00B2177B">
              <w:t>High FSM</w:t>
            </w:r>
          </w:p>
        </w:tc>
      </w:tr>
      <w:tr w:rsidR="006C6C2C" w:rsidRPr="00B2177B" w14:paraId="7B3CE5C0" w14:textId="77777777" w:rsidTr="006C6C2C">
        <w:trPr>
          <w:trHeight w:val="692"/>
        </w:trPr>
        <w:tc>
          <w:tcPr>
            <w:tcW w:w="823"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52D35E5" w14:textId="77777777" w:rsidR="006E4694" w:rsidRPr="00B2177B" w:rsidRDefault="006E4694" w:rsidP="00D2702D">
            <w:pPr>
              <w:spacing w:after="160" w:line="278" w:lineRule="auto"/>
              <w:rPr>
                <w:sz w:val="20"/>
                <w:szCs w:val="20"/>
              </w:rPr>
            </w:pPr>
            <w:r w:rsidRPr="00B2177B">
              <w:rPr>
                <w:sz w:val="20"/>
                <w:szCs w:val="20"/>
              </w:rPr>
              <w:t>2024</w:t>
            </w:r>
          </w:p>
        </w:tc>
        <w:tc>
          <w:tcPr>
            <w:tcW w:w="1025" w:type="dxa"/>
            <w:gridSpan w:val="2"/>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2795ADF" w14:textId="77777777" w:rsidR="006E4694" w:rsidRPr="00B2177B" w:rsidRDefault="006E4694" w:rsidP="00D2702D">
            <w:pPr>
              <w:spacing w:after="160" w:line="278" w:lineRule="auto"/>
              <w:rPr>
                <w:sz w:val="20"/>
                <w:szCs w:val="20"/>
              </w:rPr>
            </w:pPr>
            <w:r w:rsidRPr="00B2177B">
              <w:rPr>
                <w:sz w:val="20"/>
                <w:szCs w:val="20"/>
              </w:rPr>
              <w:t>21</w:t>
            </w:r>
          </w:p>
        </w:tc>
        <w:tc>
          <w:tcPr>
            <w:tcW w:w="1906"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49FFE32" w14:textId="77777777" w:rsidR="006E4694" w:rsidRPr="00B2177B" w:rsidRDefault="006E4694" w:rsidP="00D2702D">
            <w:pPr>
              <w:spacing w:after="160" w:line="278" w:lineRule="auto"/>
              <w:rPr>
                <w:sz w:val="20"/>
                <w:szCs w:val="20"/>
              </w:rPr>
            </w:pPr>
            <w:r w:rsidRPr="00B2177B">
              <w:rPr>
                <w:sz w:val="20"/>
                <w:szCs w:val="20"/>
              </w:rPr>
              <w:t>67%</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8E78E31" w14:textId="77777777" w:rsidR="006E4694" w:rsidRPr="00B2177B" w:rsidRDefault="006E4694" w:rsidP="00D2702D">
            <w:pPr>
              <w:spacing w:after="160" w:line="278" w:lineRule="auto"/>
              <w:rPr>
                <w:sz w:val="20"/>
                <w:szCs w:val="20"/>
              </w:rPr>
            </w:pPr>
            <w:r w:rsidRPr="00B2177B">
              <w:rPr>
                <w:sz w:val="20"/>
                <w:szCs w:val="20"/>
              </w:rPr>
              <w:t>46%</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646D953" w14:textId="77777777" w:rsidR="006E4694" w:rsidRPr="00B2177B" w:rsidRDefault="006E4694" w:rsidP="00D2702D">
            <w:pPr>
              <w:spacing w:after="160" w:line="278" w:lineRule="auto"/>
              <w:rPr>
                <w:sz w:val="20"/>
                <w:szCs w:val="20"/>
              </w:rPr>
            </w:pPr>
            <w:r w:rsidRPr="00B2177B">
              <w:rPr>
                <w:sz w:val="20"/>
                <w:szCs w:val="20"/>
              </w:rPr>
              <w:t>Above (non-significant)</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70C11BB" w14:textId="77777777" w:rsidR="006E4694" w:rsidRPr="00B2177B" w:rsidRDefault="006E4694" w:rsidP="00D2702D">
            <w:pPr>
              <w:spacing w:after="160" w:line="278" w:lineRule="auto"/>
              <w:rPr>
                <w:sz w:val="20"/>
                <w:szCs w:val="20"/>
              </w:rPr>
            </w:pPr>
            <w:r w:rsidRPr="00B2177B">
              <w:rPr>
                <w:sz w:val="20"/>
                <w:szCs w:val="20"/>
              </w:rPr>
              <w:t>67%</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510FED7" w14:textId="77777777" w:rsidR="006E4694" w:rsidRPr="00B2177B" w:rsidRDefault="006E4694" w:rsidP="00D2702D">
            <w:pPr>
              <w:spacing w:after="160" w:line="278" w:lineRule="auto"/>
              <w:rPr>
                <w:sz w:val="20"/>
                <w:szCs w:val="20"/>
              </w:rPr>
            </w:pPr>
            <w:r w:rsidRPr="00B2177B">
              <w:rPr>
                <w:sz w:val="20"/>
                <w:szCs w:val="20"/>
              </w:rPr>
              <w:t>-1</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80D31A8" w14:textId="77777777" w:rsidR="006E4694" w:rsidRPr="00B2177B" w:rsidRDefault="006E4694" w:rsidP="00D2702D">
            <w:pPr>
              <w:spacing w:after="160" w:line="278" w:lineRule="auto"/>
            </w:pPr>
            <w:r w:rsidRPr="00B2177B">
              <w:t>Narrowing</w:t>
            </w:r>
          </w:p>
        </w:tc>
        <w:tc>
          <w:tcPr>
            <w:tcW w:w="1251"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D36D2AC" w14:textId="77777777" w:rsidR="006E4694" w:rsidRPr="00B2177B" w:rsidRDefault="006E4694" w:rsidP="00D2702D">
            <w:pPr>
              <w:spacing w:after="160" w:line="278" w:lineRule="auto"/>
            </w:pPr>
            <w:r w:rsidRPr="00B2177B">
              <w:t>High FSM, High SEN</w:t>
            </w:r>
          </w:p>
        </w:tc>
      </w:tr>
      <w:tr w:rsidR="006C6C2C" w:rsidRPr="00B2177B" w14:paraId="7274E04D" w14:textId="77777777" w:rsidTr="006C6C2C">
        <w:trPr>
          <w:trHeight w:val="692"/>
        </w:trPr>
        <w:tc>
          <w:tcPr>
            <w:tcW w:w="823"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A46EBB6" w14:textId="77777777" w:rsidR="006E4694" w:rsidRPr="00B2177B" w:rsidRDefault="006E4694" w:rsidP="00D2702D">
            <w:pPr>
              <w:spacing w:after="160" w:line="278" w:lineRule="auto"/>
              <w:rPr>
                <w:sz w:val="20"/>
                <w:szCs w:val="20"/>
              </w:rPr>
            </w:pPr>
            <w:r w:rsidRPr="00B2177B">
              <w:rPr>
                <w:sz w:val="20"/>
                <w:szCs w:val="20"/>
              </w:rPr>
              <w:t>2023</w:t>
            </w:r>
          </w:p>
        </w:tc>
        <w:tc>
          <w:tcPr>
            <w:tcW w:w="1025" w:type="dxa"/>
            <w:gridSpan w:val="2"/>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DCD93C9" w14:textId="77777777" w:rsidR="006E4694" w:rsidRPr="00B2177B" w:rsidRDefault="006E4694" w:rsidP="00D2702D">
            <w:pPr>
              <w:spacing w:after="160" w:line="278" w:lineRule="auto"/>
              <w:rPr>
                <w:sz w:val="20"/>
                <w:szCs w:val="20"/>
              </w:rPr>
            </w:pPr>
            <w:r w:rsidRPr="00B2177B">
              <w:rPr>
                <w:sz w:val="20"/>
                <w:szCs w:val="20"/>
              </w:rPr>
              <w:t>13</w:t>
            </w:r>
          </w:p>
        </w:tc>
        <w:tc>
          <w:tcPr>
            <w:tcW w:w="1906"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2AB6ABA" w14:textId="77777777" w:rsidR="006E4694" w:rsidRPr="00B2177B" w:rsidRDefault="006E4694" w:rsidP="00D2702D">
            <w:pPr>
              <w:spacing w:after="160" w:line="278" w:lineRule="auto"/>
              <w:rPr>
                <w:sz w:val="20"/>
                <w:szCs w:val="20"/>
              </w:rPr>
            </w:pPr>
            <w:r w:rsidRPr="00B2177B">
              <w:rPr>
                <w:sz w:val="20"/>
                <w:szCs w:val="20"/>
              </w:rPr>
              <w:t>46%</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52A19D7" w14:textId="77777777" w:rsidR="006E4694" w:rsidRPr="00B2177B" w:rsidRDefault="006E4694" w:rsidP="00D2702D">
            <w:pPr>
              <w:spacing w:after="160" w:line="278" w:lineRule="auto"/>
              <w:rPr>
                <w:sz w:val="20"/>
                <w:szCs w:val="20"/>
              </w:rPr>
            </w:pPr>
            <w:r w:rsidRPr="00B2177B">
              <w:rPr>
                <w:sz w:val="20"/>
                <w:szCs w:val="20"/>
              </w:rPr>
              <w:t>44%</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B2E36C1" w14:textId="77777777" w:rsidR="006E4694" w:rsidRPr="00B2177B" w:rsidRDefault="006E4694" w:rsidP="00D2702D">
            <w:pPr>
              <w:spacing w:after="160" w:line="278" w:lineRule="auto"/>
              <w:rPr>
                <w:sz w:val="20"/>
                <w:szCs w:val="20"/>
              </w:rPr>
            </w:pPr>
            <w:r w:rsidRPr="00B2177B">
              <w:rPr>
                <w:sz w:val="20"/>
                <w:szCs w:val="20"/>
              </w:rPr>
              <w:t>Close to average (non-significant)</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6F7684C" w14:textId="77777777" w:rsidR="006E4694" w:rsidRPr="00B2177B" w:rsidRDefault="006E4694" w:rsidP="00D2702D">
            <w:pPr>
              <w:spacing w:after="160" w:line="278" w:lineRule="auto"/>
              <w:rPr>
                <w:sz w:val="20"/>
                <w:szCs w:val="20"/>
              </w:rPr>
            </w:pPr>
            <w:r w:rsidRPr="00B2177B">
              <w:rPr>
                <w:sz w:val="20"/>
                <w:szCs w:val="20"/>
              </w:rPr>
              <w:t>66%</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C6911D0" w14:textId="77777777" w:rsidR="006E4694" w:rsidRPr="00B2177B" w:rsidRDefault="006E4694" w:rsidP="00D2702D">
            <w:pPr>
              <w:spacing w:after="160" w:line="278" w:lineRule="auto"/>
              <w:rPr>
                <w:sz w:val="20"/>
                <w:szCs w:val="20"/>
              </w:rPr>
            </w:pPr>
            <w:r w:rsidRPr="00B2177B">
              <w:rPr>
                <w:sz w:val="20"/>
                <w:szCs w:val="20"/>
              </w:rPr>
              <w:t>-20</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5DD291D" w14:textId="77777777" w:rsidR="006E4694" w:rsidRPr="00B2177B" w:rsidRDefault="006E4694" w:rsidP="00D2702D">
            <w:pPr>
              <w:spacing w:after="160" w:line="278" w:lineRule="auto"/>
            </w:pPr>
            <w:r w:rsidRPr="00B2177B">
              <w:t>Not available</w:t>
            </w:r>
          </w:p>
        </w:tc>
        <w:tc>
          <w:tcPr>
            <w:tcW w:w="1251" w:type="dxa"/>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07EFB21" w14:textId="77777777" w:rsidR="006E4694" w:rsidRPr="00B2177B" w:rsidRDefault="006E4694" w:rsidP="00D2702D">
            <w:pPr>
              <w:spacing w:after="160" w:line="278" w:lineRule="auto"/>
            </w:pPr>
            <w:r w:rsidRPr="00B2177B">
              <w:t>-</w:t>
            </w:r>
          </w:p>
        </w:tc>
      </w:tr>
    </w:tbl>
    <w:p w14:paraId="2C74EDAB" w14:textId="5C65A658" w:rsidR="00AB2DCC" w:rsidRDefault="00AB2DCC" w:rsidP="00AB2DCC">
      <w:pPr>
        <w:shd w:val="clear" w:color="auto" w:fill="FFFFFF"/>
        <w:spacing w:after="0" w:line="408" w:lineRule="auto"/>
        <w:rPr>
          <w:rFonts w:ascii="Century Gothic" w:eastAsia="Times New Roman" w:hAnsi="Century Gothic" w:cs="Calibri"/>
          <w:sz w:val="24"/>
          <w:szCs w:val="24"/>
          <w:lang w:eastAsia="en-GB"/>
        </w:rPr>
      </w:pPr>
      <w:r w:rsidRPr="00CD2682">
        <w:rPr>
          <w:rFonts w:ascii="Century Gothic" w:eastAsia="Times New Roman" w:hAnsi="Century Gothic" w:cs="Calibri"/>
          <w:sz w:val="24"/>
          <w:szCs w:val="24"/>
          <w:lang w:eastAsia="en-GB"/>
        </w:rPr>
        <w:t>At St Gerard’s Catholic Primary and Nursery School leaders ensure the pupil premium strategy is effectively implemented and monitored by combining clear accountability, high-quality ongoing training, robust data monitoring, staff wellbeing support, curriculum coherence, and external collaboration. This approach aligns with the DfE’s statutory guidance and is tailored to the school’s context, including its high proportion of disadvantaged and EAL pupils.</w:t>
      </w:r>
    </w:p>
    <w:p w14:paraId="2A11B0D1" w14:textId="77777777" w:rsidR="00DB6F4A" w:rsidRDefault="00DB6F4A" w:rsidP="00AB2DCC">
      <w:pPr>
        <w:shd w:val="clear" w:color="auto" w:fill="FFFFFF"/>
        <w:spacing w:after="0" w:line="408" w:lineRule="auto"/>
        <w:rPr>
          <w:rFonts w:ascii="Century Gothic" w:eastAsia="Times New Roman" w:hAnsi="Century Gothic" w:cs="Calibri"/>
          <w:sz w:val="24"/>
          <w:szCs w:val="24"/>
          <w:lang w:eastAsia="en-GB"/>
        </w:rPr>
      </w:pPr>
    </w:p>
    <w:p w14:paraId="40479D2C" w14:textId="77777777" w:rsidR="00D2702D" w:rsidRDefault="00D2702D" w:rsidP="006E4694">
      <w:pPr>
        <w:spacing w:after="160" w:line="278" w:lineRule="auto"/>
        <w:rPr>
          <w:b/>
          <w:bCs/>
        </w:rPr>
      </w:pPr>
    </w:p>
    <w:p w14:paraId="4C8D94B0" w14:textId="77777777" w:rsidR="00D2702D" w:rsidRDefault="00D2702D" w:rsidP="006E4694">
      <w:pPr>
        <w:spacing w:after="160" w:line="278" w:lineRule="auto"/>
        <w:rPr>
          <w:b/>
          <w:bCs/>
        </w:rPr>
      </w:pPr>
    </w:p>
    <w:p w14:paraId="59B1FCED" w14:textId="77777777" w:rsidR="00D2702D" w:rsidRDefault="00D2702D" w:rsidP="006E4694">
      <w:pPr>
        <w:spacing w:after="160" w:line="278" w:lineRule="auto"/>
        <w:rPr>
          <w:b/>
          <w:bCs/>
        </w:rPr>
      </w:pPr>
    </w:p>
    <w:p w14:paraId="05384160" w14:textId="77777777" w:rsidR="00D2702D" w:rsidRDefault="00D2702D" w:rsidP="006E4694">
      <w:pPr>
        <w:spacing w:after="160" w:line="278" w:lineRule="auto"/>
        <w:rPr>
          <w:b/>
          <w:bCs/>
        </w:rPr>
      </w:pPr>
    </w:p>
    <w:p w14:paraId="1991130B" w14:textId="77777777" w:rsidR="00D2702D" w:rsidRDefault="00D2702D" w:rsidP="006E4694">
      <w:pPr>
        <w:spacing w:after="160" w:line="278" w:lineRule="auto"/>
        <w:rPr>
          <w:b/>
          <w:bCs/>
        </w:rPr>
      </w:pPr>
    </w:p>
    <w:p w14:paraId="6BCAB001" w14:textId="77777777" w:rsidR="00D2702D" w:rsidRDefault="00D2702D" w:rsidP="006E4694">
      <w:pPr>
        <w:spacing w:after="160" w:line="278" w:lineRule="auto"/>
        <w:rPr>
          <w:b/>
          <w:bCs/>
        </w:rPr>
      </w:pPr>
    </w:p>
    <w:p w14:paraId="788A8B74" w14:textId="77777777" w:rsidR="00D2702D" w:rsidRDefault="00D2702D" w:rsidP="006E4694">
      <w:pPr>
        <w:spacing w:after="160" w:line="278" w:lineRule="auto"/>
        <w:rPr>
          <w:b/>
          <w:bCs/>
        </w:rPr>
      </w:pPr>
    </w:p>
    <w:p w14:paraId="1A40DCDA" w14:textId="77777777" w:rsidR="00D2702D" w:rsidRDefault="00D2702D" w:rsidP="006E4694">
      <w:pPr>
        <w:spacing w:after="160" w:line="278" w:lineRule="auto"/>
        <w:rPr>
          <w:b/>
          <w:bCs/>
        </w:rPr>
      </w:pPr>
    </w:p>
    <w:p w14:paraId="5E32C903" w14:textId="77777777" w:rsidR="00D2702D" w:rsidRDefault="00D2702D" w:rsidP="006E4694">
      <w:pPr>
        <w:spacing w:after="160" w:line="278" w:lineRule="auto"/>
        <w:rPr>
          <w:b/>
          <w:bCs/>
        </w:rPr>
      </w:pPr>
    </w:p>
    <w:p w14:paraId="54891E03" w14:textId="77777777" w:rsidR="00D2702D" w:rsidRDefault="00D2702D" w:rsidP="006E4694">
      <w:pPr>
        <w:spacing w:after="160" w:line="278" w:lineRule="auto"/>
        <w:rPr>
          <w:b/>
          <w:bCs/>
        </w:rPr>
      </w:pPr>
    </w:p>
    <w:p w14:paraId="63ABB6AF" w14:textId="77777777" w:rsidR="00D2702D" w:rsidRDefault="00D2702D" w:rsidP="006E4694">
      <w:pPr>
        <w:spacing w:after="160" w:line="278" w:lineRule="auto"/>
        <w:rPr>
          <w:b/>
          <w:bCs/>
        </w:rPr>
      </w:pPr>
    </w:p>
    <w:p w14:paraId="1A8F104C" w14:textId="77777777" w:rsidR="00D2702D" w:rsidRDefault="00D2702D" w:rsidP="006E4694">
      <w:pPr>
        <w:spacing w:after="160" w:line="278" w:lineRule="auto"/>
        <w:rPr>
          <w:b/>
          <w:bCs/>
        </w:rPr>
      </w:pPr>
    </w:p>
    <w:p w14:paraId="71916F50" w14:textId="77777777" w:rsidR="00D2702D" w:rsidRDefault="00D2702D" w:rsidP="006E4694">
      <w:pPr>
        <w:spacing w:after="160" w:line="278" w:lineRule="auto"/>
        <w:rPr>
          <w:b/>
          <w:bCs/>
        </w:rPr>
      </w:pPr>
    </w:p>
    <w:p w14:paraId="4317EC5D" w14:textId="7D70F5C5" w:rsidR="006E4694" w:rsidRPr="00B2177B" w:rsidRDefault="006E4694" w:rsidP="006E4694">
      <w:pPr>
        <w:spacing w:after="160" w:line="278" w:lineRule="auto"/>
        <w:rPr>
          <w:rFonts w:ascii="Century Gothic" w:hAnsi="Century Gothic"/>
          <w:b/>
          <w:bCs/>
          <w:sz w:val="24"/>
          <w:szCs w:val="24"/>
        </w:rPr>
      </w:pPr>
      <w:r w:rsidRPr="00B2177B">
        <w:rPr>
          <w:rFonts w:ascii="Century Gothic" w:hAnsi="Century Gothic"/>
          <w:b/>
          <w:bCs/>
          <w:sz w:val="24"/>
          <w:szCs w:val="24"/>
        </w:rPr>
        <w:lastRenderedPageBreak/>
        <w:t>Disadvantaged Pupils - Reading, Writing, and Mathematics Expected Standard</w:t>
      </w:r>
    </w:p>
    <w:p w14:paraId="7ED77219" w14:textId="77777777" w:rsidR="006E4694" w:rsidRPr="00B2177B" w:rsidRDefault="006E4694" w:rsidP="006E4694">
      <w:pPr>
        <w:spacing w:after="160" w:line="278" w:lineRule="auto"/>
        <w:rPr>
          <w:rFonts w:ascii="Century Gothic" w:hAnsi="Century Gothic"/>
          <w:b/>
          <w:bCs/>
          <w:sz w:val="24"/>
          <w:szCs w:val="24"/>
        </w:rPr>
      </w:pPr>
      <w:r w:rsidRPr="00B2177B">
        <w:rPr>
          <w:rFonts w:ascii="Century Gothic" w:hAnsi="Century Gothic"/>
          <w:b/>
          <w:bCs/>
          <w:sz w:val="24"/>
          <w:szCs w:val="24"/>
        </w:rPr>
        <w:t>Key Points:</w:t>
      </w:r>
    </w:p>
    <w:p w14:paraId="2A4131D4" w14:textId="0B4B930D" w:rsidR="006E4694" w:rsidRPr="00B2177B" w:rsidRDefault="006E4694" w:rsidP="006E4694">
      <w:pPr>
        <w:numPr>
          <w:ilvl w:val="0"/>
          <w:numId w:val="16"/>
        </w:numPr>
        <w:spacing w:after="160" w:line="278" w:lineRule="auto"/>
        <w:rPr>
          <w:rFonts w:ascii="Century Gothic" w:hAnsi="Century Gothic"/>
          <w:sz w:val="24"/>
          <w:szCs w:val="24"/>
        </w:rPr>
      </w:pPr>
      <w:r w:rsidRPr="00B2177B">
        <w:rPr>
          <w:rFonts w:ascii="Century Gothic" w:hAnsi="Century Gothic"/>
          <w:sz w:val="24"/>
          <w:szCs w:val="24"/>
        </w:rPr>
        <w:t>Over the last three years combined, disadvantaged pupils have performed above the national disadvantaged average, with a significant positive banding.</w:t>
      </w:r>
    </w:p>
    <w:p w14:paraId="22215886" w14:textId="77777777" w:rsidR="006E4694" w:rsidRPr="00B2177B" w:rsidRDefault="006E4694" w:rsidP="006E4694">
      <w:pPr>
        <w:numPr>
          <w:ilvl w:val="0"/>
          <w:numId w:val="16"/>
        </w:numPr>
        <w:spacing w:after="160" w:line="278" w:lineRule="auto"/>
        <w:rPr>
          <w:rFonts w:ascii="Century Gothic" w:hAnsi="Century Gothic"/>
          <w:sz w:val="24"/>
          <w:szCs w:val="24"/>
        </w:rPr>
      </w:pPr>
      <w:r w:rsidRPr="00B2177B">
        <w:rPr>
          <w:rFonts w:ascii="Century Gothic" w:hAnsi="Century Gothic"/>
          <w:sz w:val="24"/>
          <w:szCs w:val="24"/>
        </w:rPr>
        <w:t>In 2025, the school’s disadvantaged pupils scored 65%, above the national disadvantaged average of 47%, but still 4 percentage points below the national non-disadvantaged average. The gap is widening.</w:t>
      </w:r>
    </w:p>
    <w:p w14:paraId="744DE398" w14:textId="77777777" w:rsidR="006E4694" w:rsidRPr="00B2177B" w:rsidRDefault="006E4694" w:rsidP="006E4694">
      <w:pPr>
        <w:numPr>
          <w:ilvl w:val="0"/>
          <w:numId w:val="16"/>
        </w:numPr>
        <w:spacing w:after="160" w:line="278" w:lineRule="auto"/>
        <w:rPr>
          <w:rFonts w:ascii="Century Gothic" w:hAnsi="Century Gothic"/>
          <w:sz w:val="24"/>
          <w:szCs w:val="24"/>
        </w:rPr>
      </w:pPr>
      <w:r w:rsidRPr="00B2177B">
        <w:rPr>
          <w:rFonts w:ascii="Century Gothic" w:hAnsi="Century Gothic"/>
          <w:sz w:val="24"/>
          <w:szCs w:val="24"/>
        </w:rPr>
        <w:t>In 2024, the disadvantaged pupils scored 67%, again above the national disadvantaged average, with a narrowing gap of just 1 percentage point compared to national non-disadvantaged pupils.</w:t>
      </w:r>
    </w:p>
    <w:p w14:paraId="6B213308" w14:textId="77777777" w:rsidR="006E4694" w:rsidRPr="00B2177B" w:rsidRDefault="006E4694" w:rsidP="006E4694">
      <w:pPr>
        <w:numPr>
          <w:ilvl w:val="0"/>
          <w:numId w:val="16"/>
        </w:numPr>
        <w:spacing w:after="160" w:line="278" w:lineRule="auto"/>
        <w:rPr>
          <w:rFonts w:ascii="Century Gothic" w:hAnsi="Century Gothic"/>
          <w:sz w:val="24"/>
          <w:szCs w:val="24"/>
        </w:rPr>
      </w:pPr>
      <w:r w:rsidRPr="00B2177B">
        <w:rPr>
          <w:rFonts w:ascii="Century Gothic" w:hAnsi="Century Gothic"/>
          <w:sz w:val="24"/>
          <w:szCs w:val="24"/>
        </w:rPr>
        <w:t>In 2023, disadvantaged pupils scored 46%, close to the national disadvantaged average of 44%, but 20 points below the national non-disadvantaged average, with no gap trend data available.</w:t>
      </w:r>
    </w:p>
    <w:p w14:paraId="73AF9AA3" w14:textId="77777777" w:rsidR="006E4694" w:rsidRDefault="006E4694" w:rsidP="006E4694">
      <w:pPr>
        <w:numPr>
          <w:ilvl w:val="0"/>
          <w:numId w:val="16"/>
        </w:numPr>
        <w:spacing w:after="160" w:line="278" w:lineRule="auto"/>
        <w:rPr>
          <w:rFonts w:ascii="Century Gothic" w:hAnsi="Century Gothic"/>
          <w:sz w:val="24"/>
          <w:szCs w:val="24"/>
        </w:rPr>
      </w:pPr>
      <w:r w:rsidRPr="00B2177B">
        <w:rPr>
          <w:rFonts w:ascii="Century Gothic" w:hAnsi="Century Gothic"/>
          <w:sz w:val="24"/>
          <w:szCs w:val="24"/>
        </w:rPr>
        <w:t>The context notes a high proportion of pupils eligible for Free School Meals (FSM) and a high percentage of pupils with Special Educational Needs (SEN) in some years.</w:t>
      </w:r>
    </w:p>
    <w:p w14:paraId="25C4258A" w14:textId="77777777" w:rsidR="00E0650E" w:rsidRDefault="00E0650E" w:rsidP="00E0650E">
      <w:pPr>
        <w:spacing w:after="160" w:line="278" w:lineRule="auto"/>
        <w:rPr>
          <w:rFonts w:ascii="Century Gothic" w:hAnsi="Century Gothic"/>
          <w:sz w:val="24"/>
          <w:szCs w:val="24"/>
        </w:rPr>
      </w:pPr>
    </w:p>
    <w:p w14:paraId="0182BCB8" w14:textId="77777777" w:rsidR="00E0650E" w:rsidRDefault="00E0650E" w:rsidP="00E0650E">
      <w:pPr>
        <w:spacing w:after="160" w:line="278" w:lineRule="auto"/>
        <w:rPr>
          <w:rFonts w:ascii="Century Gothic" w:hAnsi="Century Gothic"/>
          <w:sz w:val="24"/>
          <w:szCs w:val="24"/>
        </w:rPr>
      </w:pPr>
    </w:p>
    <w:p w14:paraId="1823425D" w14:textId="77777777" w:rsidR="00E0650E" w:rsidRDefault="00E0650E" w:rsidP="00E0650E">
      <w:pPr>
        <w:spacing w:after="160" w:line="278" w:lineRule="auto"/>
        <w:jc w:val="center"/>
        <w:rPr>
          <w:rFonts w:ascii="Century Gothic" w:hAnsi="Century Gothic"/>
          <w:b/>
          <w:bCs/>
          <w:sz w:val="24"/>
          <w:szCs w:val="24"/>
          <w:u w:val="single"/>
        </w:rPr>
      </w:pPr>
    </w:p>
    <w:p w14:paraId="23786CD4" w14:textId="77777777" w:rsidR="00E0650E" w:rsidRDefault="00E0650E" w:rsidP="00E0650E">
      <w:pPr>
        <w:spacing w:after="160" w:line="278" w:lineRule="auto"/>
        <w:jc w:val="center"/>
        <w:rPr>
          <w:rFonts w:ascii="Century Gothic" w:hAnsi="Century Gothic"/>
          <w:b/>
          <w:bCs/>
          <w:sz w:val="24"/>
          <w:szCs w:val="24"/>
          <w:u w:val="single"/>
        </w:rPr>
      </w:pPr>
    </w:p>
    <w:p w14:paraId="6E8D3BD3" w14:textId="77777777" w:rsidR="00E0650E" w:rsidRDefault="00E0650E" w:rsidP="00E0650E">
      <w:pPr>
        <w:spacing w:after="160" w:line="278" w:lineRule="auto"/>
        <w:jc w:val="center"/>
        <w:rPr>
          <w:rFonts w:ascii="Century Gothic" w:hAnsi="Century Gothic"/>
          <w:b/>
          <w:bCs/>
          <w:sz w:val="24"/>
          <w:szCs w:val="24"/>
          <w:u w:val="single"/>
        </w:rPr>
      </w:pPr>
    </w:p>
    <w:p w14:paraId="2D389FB0" w14:textId="77777777" w:rsidR="00E0650E" w:rsidRDefault="00E0650E" w:rsidP="00E0650E">
      <w:pPr>
        <w:spacing w:after="160" w:line="278" w:lineRule="auto"/>
        <w:jc w:val="center"/>
        <w:rPr>
          <w:rFonts w:ascii="Century Gothic" w:hAnsi="Century Gothic"/>
          <w:b/>
          <w:bCs/>
          <w:sz w:val="24"/>
          <w:szCs w:val="24"/>
          <w:u w:val="single"/>
        </w:rPr>
      </w:pPr>
    </w:p>
    <w:p w14:paraId="38DDE54E" w14:textId="77777777" w:rsidR="00E0650E" w:rsidRDefault="00E0650E" w:rsidP="00E0650E">
      <w:pPr>
        <w:spacing w:after="160" w:line="278" w:lineRule="auto"/>
        <w:jc w:val="center"/>
        <w:rPr>
          <w:rFonts w:ascii="Century Gothic" w:hAnsi="Century Gothic"/>
          <w:b/>
          <w:bCs/>
          <w:sz w:val="24"/>
          <w:szCs w:val="24"/>
          <w:u w:val="single"/>
        </w:rPr>
      </w:pPr>
    </w:p>
    <w:p w14:paraId="691FD1E6" w14:textId="77777777" w:rsidR="00E0650E" w:rsidRDefault="00E0650E" w:rsidP="00E0650E">
      <w:pPr>
        <w:spacing w:after="160" w:line="278" w:lineRule="auto"/>
        <w:jc w:val="center"/>
        <w:rPr>
          <w:rFonts w:ascii="Century Gothic" w:hAnsi="Century Gothic"/>
          <w:b/>
          <w:bCs/>
          <w:sz w:val="24"/>
          <w:szCs w:val="24"/>
          <w:u w:val="single"/>
        </w:rPr>
      </w:pPr>
    </w:p>
    <w:p w14:paraId="6C5F1C26" w14:textId="33B2B03D" w:rsidR="00E0650E" w:rsidRDefault="00E0650E" w:rsidP="00E0650E">
      <w:pPr>
        <w:spacing w:after="160" w:line="278" w:lineRule="auto"/>
        <w:jc w:val="center"/>
        <w:rPr>
          <w:rFonts w:ascii="Century Gothic" w:hAnsi="Century Gothic"/>
          <w:b/>
          <w:bCs/>
          <w:sz w:val="24"/>
          <w:szCs w:val="24"/>
          <w:u w:val="single"/>
        </w:rPr>
      </w:pPr>
      <w:r w:rsidRPr="00E0650E">
        <w:rPr>
          <w:rFonts w:ascii="Century Gothic" w:hAnsi="Century Gothic"/>
          <w:b/>
          <w:bCs/>
          <w:sz w:val="24"/>
          <w:szCs w:val="24"/>
          <w:u w:val="single"/>
        </w:rPr>
        <w:lastRenderedPageBreak/>
        <w:t>Pupil Premium Data:</w:t>
      </w:r>
    </w:p>
    <w:p w14:paraId="7B774DDF" w14:textId="77777777" w:rsidR="00E0650E" w:rsidRPr="00E0650E" w:rsidRDefault="00E0650E" w:rsidP="00E0650E">
      <w:pPr>
        <w:spacing w:after="160" w:line="278" w:lineRule="auto"/>
        <w:jc w:val="center"/>
        <w:rPr>
          <w:rFonts w:ascii="Century Gothic" w:hAnsi="Century Gothic"/>
          <w:b/>
          <w:bCs/>
          <w:sz w:val="24"/>
          <w:szCs w:val="24"/>
          <w:u w:val="single"/>
        </w:rPr>
      </w:pPr>
    </w:p>
    <w:p w14:paraId="5CA561E9" w14:textId="426A5165" w:rsidR="00E0650E" w:rsidRDefault="00E0650E" w:rsidP="00E0650E">
      <w:pPr>
        <w:spacing w:after="160" w:line="278" w:lineRule="auto"/>
        <w:rPr>
          <w:rFonts w:ascii="Century Gothic" w:hAnsi="Century Gothic"/>
          <w:sz w:val="24"/>
          <w:szCs w:val="24"/>
        </w:rPr>
      </w:pPr>
      <w:r w:rsidRPr="00E0650E">
        <w:rPr>
          <w:rFonts w:ascii="Aptos" w:eastAsia="Times New Roman" w:hAnsi="Aptos" w:cs="Times New Roman"/>
          <w:noProof/>
          <w:color w:val="000000"/>
        </w:rPr>
        <w:drawing>
          <wp:inline distT="0" distB="0" distL="0" distR="0" wp14:anchorId="03C162F1" wp14:editId="0BA83866">
            <wp:extent cx="7877175" cy="368617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879298" cy="3687168"/>
                    </a:xfrm>
                    <a:prstGeom prst="rect">
                      <a:avLst/>
                    </a:prstGeom>
                    <a:noFill/>
                    <a:ln>
                      <a:noFill/>
                    </a:ln>
                  </pic:spPr>
                </pic:pic>
              </a:graphicData>
            </a:graphic>
          </wp:inline>
        </w:drawing>
      </w:r>
    </w:p>
    <w:p w14:paraId="4A43C9FC" w14:textId="77777777" w:rsidR="00E0650E" w:rsidRPr="00B2177B" w:rsidRDefault="00E0650E" w:rsidP="00E0650E">
      <w:pPr>
        <w:spacing w:after="160" w:line="278" w:lineRule="auto"/>
        <w:rPr>
          <w:rFonts w:ascii="Century Gothic" w:hAnsi="Century Gothic"/>
          <w:sz w:val="24"/>
          <w:szCs w:val="24"/>
        </w:rPr>
      </w:pPr>
    </w:p>
    <w:p w14:paraId="62957EB9" w14:textId="77777777" w:rsidR="006E4694" w:rsidRPr="006C6C2C" w:rsidRDefault="006E4694" w:rsidP="006E4694">
      <w:pPr>
        <w:rPr>
          <w:rFonts w:ascii="Century Gothic" w:hAnsi="Century Gothic"/>
          <w:sz w:val="24"/>
          <w:szCs w:val="24"/>
        </w:rPr>
      </w:pPr>
    </w:p>
    <w:p w14:paraId="38F9ABE1" w14:textId="77777777" w:rsidR="00FD4722" w:rsidRDefault="00FD4722" w:rsidP="00AB2DCC">
      <w:pPr>
        <w:shd w:val="clear" w:color="auto" w:fill="FFFFFF"/>
        <w:spacing w:after="0" w:line="408" w:lineRule="auto"/>
        <w:rPr>
          <w:rFonts w:ascii="Century Gothic" w:eastAsia="Times New Roman" w:hAnsi="Century Gothic" w:cs="Calibri"/>
          <w:b/>
          <w:bCs/>
          <w:sz w:val="24"/>
          <w:szCs w:val="24"/>
          <w:u w:val="single"/>
          <w:lang w:eastAsia="en-GB"/>
        </w:rPr>
      </w:pPr>
    </w:p>
    <w:p w14:paraId="07786AD0" w14:textId="77777777" w:rsidR="00FD4722" w:rsidRDefault="00FD4722" w:rsidP="00AB2DCC">
      <w:pPr>
        <w:shd w:val="clear" w:color="auto" w:fill="FFFFFF"/>
        <w:spacing w:after="0" w:line="408" w:lineRule="auto"/>
        <w:rPr>
          <w:rFonts w:ascii="Century Gothic" w:eastAsia="Times New Roman" w:hAnsi="Century Gothic" w:cs="Calibri"/>
          <w:b/>
          <w:bCs/>
          <w:sz w:val="24"/>
          <w:szCs w:val="24"/>
          <w:u w:val="single"/>
          <w:lang w:eastAsia="en-GB"/>
        </w:rPr>
      </w:pPr>
    </w:p>
    <w:p w14:paraId="25FD0FEC" w14:textId="0677782B" w:rsidR="006E4694"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r w:rsidRPr="00FD4722">
        <w:rPr>
          <w:rFonts w:ascii="Century Gothic" w:eastAsia="Times New Roman" w:hAnsi="Century Gothic" w:cs="Calibri"/>
          <w:b/>
          <w:bCs/>
          <w:sz w:val="24"/>
          <w:szCs w:val="24"/>
          <w:u w:val="single"/>
          <w:lang w:eastAsia="en-GB"/>
        </w:rPr>
        <w:lastRenderedPageBreak/>
        <w:t>EAL Data:</w:t>
      </w:r>
    </w:p>
    <w:p w14:paraId="7AF82A33" w14:textId="7777777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537874A8" w14:textId="647CAEC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r>
        <w:rPr>
          <w:rFonts w:ascii="Century Gothic" w:eastAsia="Times New Roman" w:hAnsi="Century Gothic" w:cs="Calibri"/>
          <w:b/>
          <w:bCs/>
          <w:noProof/>
          <w:sz w:val="24"/>
          <w:szCs w:val="24"/>
          <w:u w:val="single"/>
          <w:lang w:eastAsia="en-GB"/>
        </w:rPr>
        <w:drawing>
          <wp:inline distT="0" distB="0" distL="0" distR="0" wp14:anchorId="1E5F1E28" wp14:editId="7C422082">
            <wp:extent cx="6067425" cy="3533775"/>
            <wp:effectExtent l="0" t="0" r="9525" b="9525"/>
            <wp:docPr id="1890746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7425" cy="3533775"/>
                    </a:xfrm>
                    <a:prstGeom prst="rect">
                      <a:avLst/>
                    </a:prstGeom>
                    <a:noFill/>
                  </pic:spPr>
                </pic:pic>
              </a:graphicData>
            </a:graphic>
          </wp:inline>
        </w:drawing>
      </w:r>
    </w:p>
    <w:p w14:paraId="2127B287" w14:textId="7777777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031EBD05" w14:textId="7777777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15BDFAAA" w14:textId="7777777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7E8279C4" w14:textId="7777777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2F55EE80" w14:textId="7777777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64B01A8D" w14:textId="7777777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7B6FF5D7" w14:textId="7777777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0DCF66C3" w14:textId="7777777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41F3ED6F" w14:textId="77777777" w:rsid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08220D40" w14:textId="77777777" w:rsidR="00FD4722" w:rsidRPr="00FD4722" w:rsidRDefault="00FD4722" w:rsidP="00FD4722">
      <w:pPr>
        <w:shd w:val="clear" w:color="auto" w:fill="FFFFFF"/>
        <w:spacing w:after="0" w:line="408" w:lineRule="auto"/>
        <w:jc w:val="center"/>
        <w:rPr>
          <w:rFonts w:ascii="Century Gothic" w:eastAsia="Times New Roman" w:hAnsi="Century Gothic" w:cs="Calibri"/>
          <w:b/>
          <w:bCs/>
          <w:sz w:val="24"/>
          <w:szCs w:val="24"/>
          <w:u w:val="single"/>
          <w:lang w:eastAsia="en-GB"/>
        </w:rPr>
      </w:pPr>
    </w:p>
    <w:p w14:paraId="79A65CD3" w14:textId="77777777" w:rsidR="006E4694" w:rsidRPr="006C6C2C" w:rsidRDefault="006E4694" w:rsidP="00AB2DCC">
      <w:pPr>
        <w:shd w:val="clear" w:color="auto" w:fill="FFFFFF"/>
        <w:spacing w:after="0" w:line="408" w:lineRule="auto"/>
        <w:rPr>
          <w:rFonts w:ascii="Century Gothic" w:eastAsia="Times New Roman" w:hAnsi="Century Gothic" w:cs="Calibri"/>
          <w:sz w:val="24"/>
          <w:szCs w:val="24"/>
          <w:lang w:eastAsia="en-GB"/>
        </w:rPr>
      </w:pPr>
    </w:p>
    <w:p w14:paraId="289D12CD" w14:textId="5320E285" w:rsidR="00720D38" w:rsidRPr="006C6C2C" w:rsidRDefault="00720D38" w:rsidP="00AB2DCC">
      <w:pPr>
        <w:shd w:val="clear" w:color="auto" w:fill="FFFFFF"/>
        <w:spacing w:after="0" w:line="408" w:lineRule="auto"/>
        <w:rPr>
          <w:rFonts w:ascii="Century Gothic" w:hAnsi="Century Gothic"/>
          <w:color w:val="3F0065"/>
          <w:sz w:val="24"/>
          <w:szCs w:val="24"/>
        </w:rPr>
      </w:pPr>
    </w:p>
    <w:sectPr w:rsidR="00720D38" w:rsidRPr="006C6C2C" w:rsidSect="00D2702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75D9"/>
    <w:multiLevelType w:val="hybridMultilevel"/>
    <w:tmpl w:val="B2C4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1222"/>
    <w:multiLevelType w:val="hybridMultilevel"/>
    <w:tmpl w:val="8EFAB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00D5F"/>
    <w:multiLevelType w:val="hybridMultilevel"/>
    <w:tmpl w:val="48E4C3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6D203F4"/>
    <w:multiLevelType w:val="hybridMultilevel"/>
    <w:tmpl w:val="CF9E65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78818AF"/>
    <w:multiLevelType w:val="hybridMultilevel"/>
    <w:tmpl w:val="4B14B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A5BDB"/>
    <w:multiLevelType w:val="hybridMultilevel"/>
    <w:tmpl w:val="783C02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6613198"/>
    <w:multiLevelType w:val="multilevel"/>
    <w:tmpl w:val="A7CC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94C93"/>
    <w:multiLevelType w:val="hybridMultilevel"/>
    <w:tmpl w:val="9312C0CC"/>
    <w:lvl w:ilvl="0" w:tplc="08090001">
      <w:start w:val="1"/>
      <w:numFmt w:val="bullet"/>
      <w:lvlText w:val=""/>
      <w:lvlJc w:val="left"/>
      <w:pPr>
        <w:ind w:left="720" w:hanging="360"/>
      </w:pPr>
      <w:rPr>
        <w:rFonts w:ascii="Symbol" w:hAnsi="Symbol" w:hint="default"/>
      </w:rPr>
    </w:lvl>
    <w:lvl w:ilvl="1" w:tplc="0C42ABD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C62AA"/>
    <w:multiLevelType w:val="multilevel"/>
    <w:tmpl w:val="AEB4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B6053"/>
    <w:multiLevelType w:val="hybridMultilevel"/>
    <w:tmpl w:val="1BB435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E843BD2"/>
    <w:multiLevelType w:val="multilevel"/>
    <w:tmpl w:val="300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F54968"/>
    <w:multiLevelType w:val="hybridMultilevel"/>
    <w:tmpl w:val="C73E11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EAA4605"/>
    <w:multiLevelType w:val="hybridMultilevel"/>
    <w:tmpl w:val="BC06D3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2F43C69"/>
    <w:multiLevelType w:val="multilevel"/>
    <w:tmpl w:val="6EB21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384271"/>
    <w:multiLevelType w:val="hybridMultilevel"/>
    <w:tmpl w:val="3AA2E3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7DE4C24"/>
    <w:multiLevelType w:val="hybridMultilevel"/>
    <w:tmpl w:val="66C2B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315965">
    <w:abstractNumId w:val="7"/>
  </w:num>
  <w:num w:numId="2" w16cid:durableId="608245019">
    <w:abstractNumId w:val="4"/>
  </w:num>
  <w:num w:numId="3" w16cid:durableId="306126994">
    <w:abstractNumId w:val="15"/>
  </w:num>
  <w:num w:numId="4" w16cid:durableId="1649163052">
    <w:abstractNumId w:val="0"/>
  </w:num>
  <w:num w:numId="5" w16cid:durableId="740718502">
    <w:abstractNumId w:val="2"/>
  </w:num>
  <w:num w:numId="6" w16cid:durableId="1988240807">
    <w:abstractNumId w:val="1"/>
  </w:num>
  <w:num w:numId="7" w16cid:durableId="2146241040">
    <w:abstractNumId w:val="10"/>
  </w:num>
  <w:num w:numId="8" w16cid:durableId="1137450131">
    <w:abstractNumId w:val="6"/>
  </w:num>
  <w:num w:numId="9" w16cid:durableId="124206575">
    <w:abstractNumId w:val="13"/>
  </w:num>
  <w:num w:numId="10" w16cid:durableId="858079368">
    <w:abstractNumId w:val="11"/>
  </w:num>
  <w:num w:numId="11" w16cid:durableId="1628389506">
    <w:abstractNumId w:val="14"/>
  </w:num>
  <w:num w:numId="12" w16cid:durableId="1144196822">
    <w:abstractNumId w:val="9"/>
  </w:num>
  <w:num w:numId="13" w16cid:durableId="2022463240">
    <w:abstractNumId w:val="3"/>
  </w:num>
  <w:num w:numId="14" w16cid:durableId="1577737935">
    <w:abstractNumId w:val="12"/>
  </w:num>
  <w:num w:numId="15" w16cid:durableId="1256400966">
    <w:abstractNumId w:val="5"/>
  </w:num>
  <w:num w:numId="16" w16cid:durableId="1583903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B0"/>
    <w:rsid w:val="00064326"/>
    <w:rsid w:val="00126633"/>
    <w:rsid w:val="001733EB"/>
    <w:rsid w:val="001836D2"/>
    <w:rsid w:val="001F4867"/>
    <w:rsid w:val="00215172"/>
    <w:rsid w:val="002D6B31"/>
    <w:rsid w:val="00346290"/>
    <w:rsid w:val="00393D2D"/>
    <w:rsid w:val="003A5741"/>
    <w:rsid w:val="00542D80"/>
    <w:rsid w:val="005974E4"/>
    <w:rsid w:val="006C6C2C"/>
    <w:rsid w:val="006E4694"/>
    <w:rsid w:val="00720D38"/>
    <w:rsid w:val="007B1F3B"/>
    <w:rsid w:val="007D63FE"/>
    <w:rsid w:val="00846ABB"/>
    <w:rsid w:val="00876B5C"/>
    <w:rsid w:val="008C1136"/>
    <w:rsid w:val="0092523B"/>
    <w:rsid w:val="00947C67"/>
    <w:rsid w:val="00953258"/>
    <w:rsid w:val="00A27E89"/>
    <w:rsid w:val="00A309B4"/>
    <w:rsid w:val="00A46922"/>
    <w:rsid w:val="00AB1DFC"/>
    <w:rsid w:val="00AB2DCC"/>
    <w:rsid w:val="00AB35B4"/>
    <w:rsid w:val="00B43DB0"/>
    <w:rsid w:val="00B44981"/>
    <w:rsid w:val="00C5292C"/>
    <w:rsid w:val="00C74489"/>
    <w:rsid w:val="00CD2682"/>
    <w:rsid w:val="00CF6315"/>
    <w:rsid w:val="00D2702D"/>
    <w:rsid w:val="00DB6F4A"/>
    <w:rsid w:val="00E0650E"/>
    <w:rsid w:val="00E4416C"/>
    <w:rsid w:val="00E54E4D"/>
    <w:rsid w:val="00F767A4"/>
    <w:rsid w:val="00FD4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9D12BC"/>
  <w15:docId w15:val="{2572AE44-BBE2-4E55-B2B7-08482769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DB0"/>
    <w:pPr>
      <w:ind w:left="720"/>
      <w:contextualSpacing/>
    </w:pPr>
  </w:style>
  <w:style w:type="paragraph" w:styleId="BalloonText">
    <w:name w:val="Balloon Text"/>
    <w:basedOn w:val="Normal"/>
    <w:link w:val="BalloonTextChar"/>
    <w:uiPriority w:val="99"/>
    <w:semiHidden/>
    <w:unhideWhenUsed/>
    <w:rsid w:val="00AB3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134">
      <w:bodyDiv w:val="1"/>
      <w:marLeft w:val="0"/>
      <w:marRight w:val="0"/>
      <w:marTop w:val="0"/>
      <w:marBottom w:val="0"/>
      <w:divBdr>
        <w:top w:val="none" w:sz="0" w:space="0" w:color="auto"/>
        <w:left w:val="none" w:sz="0" w:space="0" w:color="auto"/>
        <w:bottom w:val="none" w:sz="0" w:space="0" w:color="auto"/>
        <w:right w:val="none" w:sz="0" w:space="0" w:color="auto"/>
      </w:divBdr>
    </w:div>
    <w:div w:id="1256787188">
      <w:bodyDiv w:val="1"/>
      <w:marLeft w:val="0"/>
      <w:marRight w:val="0"/>
      <w:marTop w:val="0"/>
      <w:marBottom w:val="0"/>
      <w:divBdr>
        <w:top w:val="none" w:sz="0" w:space="0" w:color="auto"/>
        <w:left w:val="none" w:sz="0" w:space="0" w:color="auto"/>
        <w:bottom w:val="none" w:sz="0" w:space="0" w:color="auto"/>
        <w:right w:val="none" w:sz="0" w:space="0" w:color="auto"/>
      </w:divBdr>
    </w:div>
    <w:div w:id="1492521808">
      <w:bodyDiv w:val="1"/>
      <w:marLeft w:val="0"/>
      <w:marRight w:val="0"/>
      <w:marTop w:val="0"/>
      <w:marBottom w:val="0"/>
      <w:divBdr>
        <w:top w:val="none" w:sz="0" w:space="0" w:color="auto"/>
        <w:left w:val="none" w:sz="0" w:space="0" w:color="auto"/>
        <w:bottom w:val="none" w:sz="0" w:space="0" w:color="auto"/>
        <w:right w:val="none" w:sz="0" w:space="0" w:color="auto"/>
      </w:divBdr>
    </w:div>
    <w:div w:id="15191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739cf456-8847-4ebd-80f0-eaf8502cde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St Gerards - Head Teacher</cp:lastModifiedBy>
  <cp:revision>2</cp:revision>
  <cp:lastPrinted>2012-09-07T09:43:00Z</cp:lastPrinted>
  <dcterms:created xsi:type="dcterms:W3CDTF">2026-01-07T11:11:00Z</dcterms:created>
  <dcterms:modified xsi:type="dcterms:W3CDTF">2026-01-07T11:11:00Z</dcterms:modified>
</cp:coreProperties>
</file>