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97" w:rsidRPr="00DF4397" w:rsidRDefault="00E26800" w:rsidP="00E26800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71CB6399" wp14:editId="22B8E918">
            <wp:simplePos x="0" y="0"/>
            <wp:positionH relativeFrom="column">
              <wp:posOffset>3295650</wp:posOffset>
            </wp:positionH>
            <wp:positionV relativeFrom="paragraph">
              <wp:posOffset>739140</wp:posOffset>
            </wp:positionV>
            <wp:extent cx="2124075" cy="2159000"/>
            <wp:effectExtent l="0" t="0" r="9525" b="0"/>
            <wp:wrapNone/>
            <wp:docPr id="2" name="Picture 2" descr="Image result for rights respecting schools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ights respecting schools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Arial"/>
          <w:b/>
          <w:bCs/>
          <w:sz w:val="36"/>
          <w:szCs w:val="36"/>
          <w:u w:val="single"/>
          <w:lang w:eastAsia="en-GB"/>
        </w:rPr>
        <w:t xml:space="preserve">At </w:t>
      </w:r>
      <w:proofErr w:type="spellStart"/>
      <w:r>
        <w:rPr>
          <w:rFonts w:ascii="Comic Sans MS" w:eastAsia="Times New Roman" w:hAnsi="Comic Sans MS" w:cs="Arial"/>
          <w:b/>
          <w:bCs/>
          <w:sz w:val="36"/>
          <w:szCs w:val="36"/>
          <w:u w:val="single"/>
          <w:lang w:eastAsia="en-GB"/>
        </w:rPr>
        <w:t>Dobcroft</w:t>
      </w:r>
      <w:proofErr w:type="spellEnd"/>
      <w:r>
        <w:rPr>
          <w:rFonts w:ascii="Comic Sans MS" w:eastAsia="Times New Roman" w:hAnsi="Comic Sans MS" w:cs="Arial"/>
          <w:b/>
          <w:bCs/>
          <w:sz w:val="36"/>
          <w:szCs w:val="36"/>
          <w:u w:val="single"/>
          <w:lang w:eastAsia="en-GB"/>
        </w:rPr>
        <w:t xml:space="preserve"> Infant School we are on a journey towards becoming a Rights and </w:t>
      </w:r>
      <w:proofErr w:type="gramStart"/>
      <w:r>
        <w:rPr>
          <w:rFonts w:ascii="Comic Sans MS" w:eastAsia="Times New Roman" w:hAnsi="Comic Sans MS" w:cs="Arial"/>
          <w:b/>
          <w:bCs/>
          <w:sz w:val="36"/>
          <w:szCs w:val="36"/>
          <w:u w:val="single"/>
          <w:lang w:eastAsia="en-GB"/>
        </w:rPr>
        <w:t>Respecting</w:t>
      </w:r>
      <w:proofErr w:type="gramEnd"/>
      <w:r>
        <w:rPr>
          <w:rFonts w:ascii="Comic Sans MS" w:eastAsia="Times New Roman" w:hAnsi="Comic Sans MS" w:cs="Arial"/>
          <w:b/>
          <w:bCs/>
          <w:sz w:val="36"/>
          <w:szCs w:val="36"/>
          <w:u w:val="single"/>
          <w:lang w:eastAsia="en-GB"/>
        </w:rPr>
        <w:t xml:space="preserve"> school</w:t>
      </w:r>
    </w:p>
    <w:p w:rsidR="00E26800" w:rsidRDefault="00E26800" w:rsidP="00DF43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 wp14:anchorId="137FEB45" wp14:editId="2D71620D">
            <wp:simplePos x="0" y="0"/>
            <wp:positionH relativeFrom="column">
              <wp:posOffset>142875</wp:posOffset>
            </wp:positionH>
            <wp:positionV relativeFrom="paragraph">
              <wp:posOffset>25400</wp:posOffset>
            </wp:positionV>
            <wp:extent cx="2124075" cy="2159000"/>
            <wp:effectExtent l="0" t="0" r="9525" b="0"/>
            <wp:wrapNone/>
            <wp:docPr id="3" name="Picture 3" descr="Image result for rights respecting schools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ights respecting schools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800" w:rsidRDefault="00E26800" w:rsidP="00DF43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</w:p>
    <w:p w:rsidR="00E26800" w:rsidRDefault="00E26800" w:rsidP="00DF43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</w:p>
    <w:p w:rsidR="00DF4397" w:rsidRPr="00DF4397" w:rsidRDefault="00DF4397" w:rsidP="00DF43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</w:p>
    <w:p w:rsidR="00E26800" w:rsidRDefault="00E26800" w:rsidP="00DF4397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E26800" w:rsidRDefault="00E26800" w:rsidP="00DF4397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E26800" w:rsidRDefault="00E26800" w:rsidP="00DF4397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DF4397" w:rsidRDefault="00DF4397" w:rsidP="00DF4397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As a school we are working towards the </w:t>
      </w:r>
      <w:proofErr w:type="spellStart"/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>Unicef</w:t>
      </w:r>
      <w:proofErr w:type="spellEnd"/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Rights Respecting School Award.  </w:t>
      </w:r>
      <w:r>
        <w:rPr>
          <w:rFonts w:ascii="Comic Sans MS" w:eastAsia="Times New Roman" w:hAnsi="Comic Sans MS" w:cs="Arial"/>
          <w:sz w:val="24"/>
          <w:szCs w:val="24"/>
          <w:lang w:eastAsia="en-GB"/>
        </w:rPr>
        <w:t>We have recently updated our school vision and our school values. This was done in consultation with staff, governors, parents and most importantly the children.</w:t>
      </w:r>
    </w:p>
    <w:p w:rsidR="00DF4397" w:rsidRPr="00DF4397" w:rsidRDefault="00DF4397" w:rsidP="00DF43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>UNICEF's RRSA initiative helps schools to use the United Nations Convention on the Rights of the Child to establish a Value's framework that underpins the curriculum and ethos of the school.  Working on this framework has a positive effect on relationships, teaching approaches, attitudes and behaviour of everyone involved - adults and children!  Other schools have reported that this work can:-</w:t>
      </w:r>
    </w:p>
    <w:p w:rsidR="00DF4397" w:rsidRPr="00DF4397" w:rsidRDefault="00DF4397" w:rsidP="00DF4397">
      <w:pPr>
        <w:numPr>
          <w:ilvl w:val="0"/>
          <w:numId w:val="1"/>
        </w:numPr>
        <w:spacing w:before="100" w:beforeAutospacing="1" w:after="100" w:afterAutospacing="1" w:line="240" w:lineRule="auto"/>
        <w:ind w:left="630" w:right="240"/>
        <w:rPr>
          <w:rFonts w:ascii="Arial" w:eastAsia="Times New Roman" w:hAnsi="Arial" w:cs="Arial"/>
          <w:sz w:val="21"/>
          <w:szCs w:val="21"/>
          <w:lang w:eastAsia="en-GB"/>
        </w:rPr>
      </w:pPr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Support and enhance </w:t>
      </w:r>
      <w:r w:rsidR="00E26800" w:rsidRPr="00DF4397">
        <w:rPr>
          <w:rFonts w:ascii="Comic Sans MS" w:eastAsia="Times New Roman" w:hAnsi="Comic Sans MS" w:cs="Arial"/>
          <w:sz w:val="24"/>
          <w:szCs w:val="24"/>
          <w:lang w:eastAsia="en-GB"/>
        </w:rPr>
        <w:t>children’s</w:t>
      </w:r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moral development</w:t>
      </w:r>
    </w:p>
    <w:p w:rsidR="00DF4397" w:rsidRPr="00DF4397" w:rsidRDefault="00DF4397" w:rsidP="00DF4397">
      <w:pPr>
        <w:numPr>
          <w:ilvl w:val="0"/>
          <w:numId w:val="1"/>
        </w:numPr>
        <w:spacing w:before="100" w:beforeAutospacing="1" w:after="100" w:afterAutospacing="1" w:line="240" w:lineRule="auto"/>
        <w:ind w:left="630" w:right="240"/>
        <w:rPr>
          <w:rFonts w:ascii="Arial" w:eastAsia="Times New Roman" w:hAnsi="Arial" w:cs="Arial"/>
          <w:sz w:val="21"/>
          <w:szCs w:val="21"/>
          <w:lang w:eastAsia="en-GB"/>
        </w:rPr>
      </w:pPr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>Improve behaviour and relationships - children understanding both their rights and also their responsibilities</w:t>
      </w:r>
    </w:p>
    <w:p w:rsidR="00DF4397" w:rsidRPr="00DF4397" w:rsidRDefault="00DF4397" w:rsidP="00DF4397">
      <w:pPr>
        <w:numPr>
          <w:ilvl w:val="0"/>
          <w:numId w:val="1"/>
        </w:numPr>
        <w:spacing w:before="100" w:beforeAutospacing="1" w:after="100" w:afterAutospacing="1" w:line="240" w:lineRule="auto"/>
        <w:ind w:left="630" w:right="240"/>
        <w:rPr>
          <w:rFonts w:ascii="Arial" w:eastAsia="Times New Roman" w:hAnsi="Arial" w:cs="Arial"/>
          <w:sz w:val="21"/>
          <w:szCs w:val="21"/>
          <w:lang w:eastAsia="en-GB"/>
        </w:rPr>
      </w:pPr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>Develops positive attitudes towards diversity and reduces prejudice</w:t>
      </w:r>
    </w:p>
    <w:p w:rsidR="00DF4397" w:rsidRPr="00DF4397" w:rsidRDefault="00DF4397" w:rsidP="00DF4397">
      <w:pPr>
        <w:numPr>
          <w:ilvl w:val="0"/>
          <w:numId w:val="1"/>
        </w:numPr>
        <w:spacing w:before="100" w:beforeAutospacing="1" w:after="100" w:afterAutospacing="1" w:line="240" w:lineRule="auto"/>
        <w:ind w:left="630" w:right="240"/>
        <w:rPr>
          <w:rFonts w:ascii="Arial" w:eastAsia="Times New Roman" w:hAnsi="Arial" w:cs="Arial"/>
          <w:sz w:val="21"/>
          <w:szCs w:val="21"/>
          <w:lang w:eastAsia="en-GB"/>
        </w:rPr>
      </w:pPr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>Helps children understand their responsibility as a global citizens</w:t>
      </w:r>
    </w:p>
    <w:p w:rsidR="00DF4397" w:rsidRPr="00DF4397" w:rsidRDefault="00DF4397" w:rsidP="00DF4397">
      <w:pPr>
        <w:numPr>
          <w:ilvl w:val="0"/>
          <w:numId w:val="1"/>
        </w:numPr>
        <w:spacing w:before="100" w:beforeAutospacing="1" w:after="100" w:afterAutospacing="1" w:line="240" w:lineRule="auto"/>
        <w:ind w:left="630" w:right="240"/>
        <w:rPr>
          <w:rFonts w:ascii="Arial" w:eastAsia="Times New Roman" w:hAnsi="Arial" w:cs="Arial"/>
          <w:sz w:val="21"/>
          <w:szCs w:val="21"/>
          <w:lang w:eastAsia="en-GB"/>
        </w:rPr>
      </w:pPr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>Results in overall whole school improvement in learning</w:t>
      </w:r>
    </w:p>
    <w:p w:rsidR="00DF4397" w:rsidRPr="00E26800" w:rsidRDefault="00DF4397" w:rsidP="00DF4397">
      <w:pPr>
        <w:numPr>
          <w:ilvl w:val="0"/>
          <w:numId w:val="1"/>
        </w:numPr>
        <w:spacing w:before="100" w:beforeAutospacing="1" w:after="100" w:afterAutospacing="1" w:line="240" w:lineRule="auto"/>
        <w:ind w:left="630" w:right="240"/>
        <w:rPr>
          <w:rFonts w:ascii="Arial" w:eastAsia="Times New Roman" w:hAnsi="Arial" w:cs="Arial"/>
          <w:sz w:val="21"/>
          <w:szCs w:val="21"/>
          <w:lang w:eastAsia="en-GB"/>
        </w:rPr>
      </w:pPr>
      <w:r w:rsidRPr="00DF4397">
        <w:rPr>
          <w:rFonts w:ascii="Comic Sans MS" w:eastAsia="Times New Roman" w:hAnsi="Comic Sans MS" w:cs="Arial"/>
          <w:sz w:val="24"/>
          <w:szCs w:val="24"/>
          <w:lang w:eastAsia="en-GB"/>
        </w:rPr>
        <w:t>Enhanced job satisfaction for teachers</w:t>
      </w:r>
    </w:p>
    <w:p w:rsidR="00E26800" w:rsidRDefault="00E26800" w:rsidP="00E26800">
      <w:pPr>
        <w:spacing w:before="100" w:beforeAutospacing="1" w:after="100" w:afterAutospacing="1" w:line="240" w:lineRule="auto"/>
        <w:ind w:right="240"/>
        <w:rPr>
          <w:rFonts w:ascii="Comic Sans MS" w:eastAsia="Times New Roman" w:hAnsi="Comic Sans MS" w:cs="Arial"/>
          <w:sz w:val="32"/>
          <w:szCs w:val="32"/>
          <w:lang w:eastAsia="en-GB"/>
        </w:rPr>
      </w:pPr>
      <w:r w:rsidRPr="00E26800">
        <w:rPr>
          <w:rFonts w:ascii="Comic Sans MS" w:eastAsia="Times New Roman" w:hAnsi="Comic Sans MS" w:cs="Arial"/>
          <w:sz w:val="32"/>
          <w:szCs w:val="32"/>
          <w:lang w:eastAsia="en-GB"/>
        </w:rPr>
        <w:t>Have a look with your child at the posters which shows what their rights are</w:t>
      </w:r>
      <w:r>
        <w:rPr>
          <w:rFonts w:ascii="Comic Sans MS" w:eastAsia="Times New Roman" w:hAnsi="Comic Sans MS" w:cs="Arial"/>
          <w:sz w:val="32"/>
          <w:szCs w:val="32"/>
          <w:lang w:eastAsia="en-GB"/>
        </w:rPr>
        <w:t>.</w:t>
      </w:r>
    </w:p>
    <w:p w:rsidR="00E26800" w:rsidRDefault="00E26800" w:rsidP="00E26800">
      <w:pPr>
        <w:spacing w:before="100" w:beforeAutospacing="1" w:after="100" w:afterAutospacing="1" w:line="240" w:lineRule="auto"/>
        <w:ind w:right="240"/>
        <w:rPr>
          <w:rFonts w:ascii="Comic Sans MS" w:eastAsia="Times New Roman" w:hAnsi="Comic Sans MS" w:cs="Arial"/>
          <w:sz w:val="32"/>
          <w:szCs w:val="32"/>
          <w:lang w:eastAsia="en-GB"/>
        </w:rPr>
      </w:pPr>
    </w:p>
    <w:p w:rsidR="00E26800" w:rsidRDefault="00E26800" w:rsidP="00E26800">
      <w:pPr>
        <w:spacing w:before="100" w:beforeAutospacing="1" w:after="100" w:afterAutospacing="1" w:line="240" w:lineRule="auto"/>
        <w:ind w:right="240"/>
        <w:rPr>
          <w:rFonts w:ascii="Comic Sans MS" w:eastAsia="Times New Roman" w:hAnsi="Comic Sans MS" w:cs="Arial"/>
          <w:sz w:val="32"/>
          <w:szCs w:val="32"/>
          <w:lang w:eastAsia="en-GB"/>
        </w:rPr>
      </w:pPr>
    </w:p>
    <w:p w:rsidR="00E26800" w:rsidRDefault="00E26800" w:rsidP="00E26800">
      <w:pPr>
        <w:spacing w:before="100" w:beforeAutospacing="1" w:after="100" w:afterAutospacing="1" w:line="240" w:lineRule="auto"/>
        <w:ind w:right="240"/>
        <w:rPr>
          <w:rFonts w:ascii="Comic Sans MS" w:eastAsia="Times New Roman" w:hAnsi="Comic Sans MS" w:cs="Arial"/>
          <w:sz w:val="32"/>
          <w:szCs w:val="32"/>
          <w:lang w:eastAsia="en-GB"/>
        </w:rPr>
      </w:pPr>
    </w:p>
    <w:p w:rsidR="00E26800" w:rsidRPr="00E26800" w:rsidRDefault="00E26800" w:rsidP="00E26800">
      <w:pPr>
        <w:spacing w:before="100" w:beforeAutospacing="1" w:after="100" w:afterAutospacing="1" w:line="240" w:lineRule="auto"/>
        <w:ind w:right="240"/>
        <w:rPr>
          <w:rFonts w:ascii="Comic Sans MS" w:eastAsia="Times New Roman" w:hAnsi="Comic Sans MS" w:cs="Arial"/>
          <w:sz w:val="32"/>
          <w:szCs w:val="32"/>
          <w:lang w:eastAsia="en-GB"/>
        </w:rPr>
      </w:pPr>
    </w:p>
    <w:p w:rsidR="005F56B6" w:rsidRDefault="00E26800">
      <w:pPr>
        <w:rPr>
          <w:rFonts w:ascii="Comic Sans MS" w:eastAsia="Times New Roman" w:hAnsi="Comic Sans MS" w:cs="Arial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sz w:val="24"/>
          <w:szCs w:val="24"/>
          <w:lang w:eastAsia="en-GB"/>
        </w:rPr>
        <w:lastRenderedPageBreak/>
        <w:t>This September we are focusing on the following articles:</w:t>
      </w:r>
    </w:p>
    <w:p w:rsidR="00E26800" w:rsidRDefault="00E26800" w:rsidP="00E26800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36E3727" wp14:editId="6646D8D7">
            <wp:simplePos x="0" y="0"/>
            <wp:positionH relativeFrom="column">
              <wp:posOffset>6086475</wp:posOffset>
            </wp:positionH>
            <wp:positionV relativeFrom="paragraph">
              <wp:posOffset>20955</wp:posOffset>
            </wp:positionV>
            <wp:extent cx="677545" cy="719455"/>
            <wp:effectExtent l="0" t="0" r="825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6F98BBE" wp14:editId="6E72D77B">
            <wp:simplePos x="0" y="0"/>
            <wp:positionH relativeFrom="column">
              <wp:posOffset>-151765</wp:posOffset>
            </wp:positionH>
            <wp:positionV relativeFrom="paragraph">
              <wp:posOffset>20955</wp:posOffset>
            </wp:positionV>
            <wp:extent cx="628650" cy="6675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E38A5">
        <w:rPr>
          <w:rFonts w:ascii="Comic Sans MS" w:hAnsi="Comic Sans MS"/>
          <w:b/>
          <w:sz w:val="40"/>
          <w:szCs w:val="40"/>
          <w:u w:val="single"/>
        </w:rPr>
        <w:t>Dobc</w:t>
      </w:r>
      <w:r>
        <w:rPr>
          <w:rFonts w:ascii="Comic Sans MS" w:hAnsi="Comic Sans MS"/>
          <w:b/>
          <w:sz w:val="40"/>
          <w:szCs w:val="40"/>
          <w:u w:val="single"/>
        </w:rPr>
        <w:t>roft</w:t>
      </w:r>
      <w:proofErr w:type="spellEnd"/>
      <w:r>
        <w:rPr>
          <w:rFonts w:ascii="Comic Sans MS" w:hAnsi="Comic Sans MS"/>
          <w:b/>
          <w:sz w:val="40"/>
          <w:szCs w:val="40"/>
          <w:u w:val="single"/>
        </w:rPr>
        <w:t xml:space="preserve"> Infant </w:t>
      </w:r>
      <w:proofErr w:type="gramStart"/>
      <w:r>
        <w:rPr>
          <w:rFonts w:ascii="Comic Sans MS" w:hAnsi="Comic Sans MS"/>
          <w:b/>
          <w:sz w:val="40"/>
          <w:szCs w:val="40"/>
          <w:u w:val="single"/>
        </w:rPr>
        <w:t>S</w:t>
      </w:r>
      <w:r w:rsidRPr="009E38A5">
        <w:rPr>
          <w:rFonts w:ascii="Comic Sans MS" w:hAnsi="Comic Sans MS"/>
          <w:b/>
          <w:sz w:val="40"/>
          <w:szCs w:val="40"/>
          <w:u w:val="single"/>
        </w:rPr>
        <w:t>chool  September</w:t>
      </w:r>
      <w:proofErr w:type="gramEnd"/>
      <w:r w:rsidRPr="009E38A5">
        <w:rPr>
          <w:rFonts w:ascii="Comic Sans MS" w:hAnsi="Comic Sans MS"/>
          <w:b/>
          <w:sz w:val="40"/>
          <w:szCs w:val="40"/>
          <w:u w:val="single"/>
        </w:rPr>
        <w:t xml:space="preserve"> 2016</w:t>
      </w:r>
    </w:p>
    <w:tbl>
      <w:tblPr>
        <w:tblStyle w:val="TableGrid"/>
        <w:tblpPr w:leftFromText="180" w:rightFromText="180" w:vertAnchor="text" w:horzAnchor="margin" w:tblpY="225"/>
        <w:tblW w:w="9712" w:type="dxa"/>
        <w:tblLook w:val="04A0" w:firstRow="1" w:lastRow="0" w:firstColumn="1" w:lastColumn="0" w:noHBand="0" w:noVBand="1"/>
      </w:tblPr>
      <w:tblGrid>
        <w:gridCol w:w="1536"/>
        <w:gridCol w:w="1633"/>
        <w:gridCol w:w="1633"/>
        <w:gridCol w:w="1643"/>
        <w:gridCol w:w="1641"/>
        <w:gridCol w:w="1626"/>
      </w:tblGrid>
      <w:tr w:rsidR="00E26800" w:rsidRPr="009E38A5" w:rsidTr="00B85832">
        <w:tc>
          <w:tcPr>
            <w:tcW w:w="1536" w:type="dxa"/>
            <w:tcBorders>
              <w:top w:val="single" w:sz="24" w:space="0" w:color="00B0F0"/>
              <w:left w:val="single" w:sz="24" w:space="0" w:color="00B0F0"/>
              <w:bottom w:val="nil"/>
              <w:right w:val="nil"/>
            </w:tcBorders>
            <w:shd w:val="clear" w:color="auto" w:fill="D99594" w:themeFill="accent2" w:themeFillTint="99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38A5">
              <w:rPr>
                <w:rFonts w:ascii="Comic Sans MS" w:hAnsi="Comic Sans MS"/>
                <w:sz w:val="24"/>
                <w:szCs w:val="24"/>
              </w:rPr>
              <w:t>Enjoy learning</w:t>
            </w:r>
          </w:p>
        </w:tc>
        <w:tc>
          <w:tcPr>
            <w:tcW w:w="1633" w:type="dxa"/>
            <w:tcBorders>
              <w:top w:val="single" w:sz="24" w:space="0" w:color="00B0F0"/>
              <w:left w:val="nil"/>
              <w:bottom w:val="nil"/>
              <w:right w:val="nil"/>
            </w:tcBorders>
            <w:shd w:val="clear" w:color="auto" w:fill="92D050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38A5">
              <w:rPr>
                <w:rFonts w:ascii="Comic Sans MS" w:hAnsi="Comic Sans MS"/>
                <w:sz w:val="24"/>
                <w:szCs w:val="24"/>
              </w:rPr>
              <w:t>Try our best</w:t>
            </w:r>
          </w:p>
        </w:tc>
        <w:tc>
          <w:tcPr>
            <w:tcW w:w="1633" w:type="dxa"/>
            <w:tcBorders>
              <w:top w:val="single" w:sz="24" w:space="0" w:color="00B0F0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38A5">
              <w:rPr>
                <w:rFonts w:ascii="Comic Sans MS" w:hAnsi="Comic Sans MS"/>
                <w:sz w:val="24"/>
                <w:szCs w:val="24"/>
              </w:rPr>
              <w:t>Make good choices</w:t>
            </w:r>
          </w:p>
        </w:tc>
        <w:tc>
          <w:tcPr>
            <w:tcW w:w="1643" w:type="dxa"/>
            <w:tcBorders>
              <w:top w:val="single" w:sz="24" w:space="0" w:color="00B0F0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38A5">
              <w:rPr>
                <w:rFonts w:ascii="Comic Sans MS" w:hAnsi="Comic Sans MS"/>
                <w:sz w:val="24"/>
                <w:szCs w:val="24"/>
              </w:rPr>
              <w:t>Respect each other &amp; our surroundings</w:t>
            </w:r>
          </w:p>
        </w:tc>
        <w:tc>
          <w:tcPr>
            <w:tcW w:w="1641" w:type="dxa"/>
            <w:tcBorders>
              <w:top w:val="single" w:sz="24" w:space="0" w:color="00B0F0"/>
              <w:left w:val="nil"/>
              <w:bottom w:val="nil"/>
              <w:right w:val="nil"/>
            </w:tcBorders>
            <w:shd w:val="clear" w:color="auto" w:fill="E36C0A" w:themeFill="accent6" w:themeFillShade="BF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38A5">
              <w:rPr>
                <w:rFonts w:ascii="Comic Sans MS" w:hAnsi="Comic Sans MS"/>
                <w:sz w:val="24"/>
                <w:szCs w:val="24"/>
              </w:rPr>
              <w:t>Work together</w:t>
            </w:r>
          </w:p>
        </w:tc>
        <w:tc>
          <w:tcPr>
            <w:tcW w:w="1626" w:type="dxa"/>
            <w:tcBorders>
              <w:top w:val="single" w:sz="24" w:space="0" w:color="00B0F0"/>
              <w:left w:val="nil"/>
              <w:bottom w:val="nil"/>
              <w:right w:val="single" w:sz="24" w:space="0" w:color="00B0F0"/>
            </w:tcBorders>
            <w:shd w:val="clear" w:color="auto" w:fill="00B0F0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26800" w:rsidRPr="009E38A5" w:rsidRDefault="00E26800" w:rsidP="00B858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38A5">
              <w:rPr>
                <w:rFonts w:ascii="Comic Sans MS" w:hAnsi="Comic Sans MS"/>
                <w:sz w:val="24"/>
                <w:szCs w:val="24"/>
              </w:rPr>
              <w:t>Celebrate our successes</w:t>
            </w:r>
          </w:p>
        </w:tc>
      </w:tr>
      <w:tr w:rsidR="00E26800" w:rsidRPr="009E38A5" w:rsidTr="00B85832">
        <w:tc>
          <w:tcPr>
            <w:tcW w:w="1536" w:type="dxa"/>
            <w:tcBorders>
              <w:top w:val="nil"/>
              <w:left w:val="single" w:sz="24" w:space="0" w:color="00B0F0"/>
              <w:bottom w:val="single" w:sz="24" w:space="0" w:color="00B0F0"/>
              <w:right w:val="nil"/>
            </w:tcBorders>
            <w:shd w:val="clear" w:color="auto" w:fill="D99594" w:themeFill="accent2" w:themeFillTint="99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</w:rPr>
            </w:pPr>
            <w:r w:rsidRPr="009E38A5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AE89560" wp14:editId="07B7618A">
                  <wp:extent cx="838200" cy="70079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448" cy="70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nil"/>
              <w:left w:val="nil"/>
              <w:bottom w:val="single" w:sz="24" w:space="0" w:color="00B0F0"/>
              <w:right w:val="nil"/>
            </w:tcBorders>
            <w:shd w:val="clear" w:color="auto" w:fill="92D050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</w:rPr>
            </w:pPr>
            <w:r w:rsidRPr="009E38A5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B8D54FB" wp14:editId="38020284">
                  <wp:extent cx="900019" cy="7524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092" cy="75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nil"/>
              <w:left w:val="nil"/>
              <w:bottom w:val="single" w:sz="24" w:space="0" w:color="00B0F0"/>
              <w:right w:val="nil"/>
            </w:tcBorders>
            <w:shd w:val="clear" w:color="auto" w:fill="B2A1C7" w:themeFill="accent4" w:themeFillTint="99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</w:rPr>
            </w:pPr>
            <w:r w:rsidRPr="009E38A5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0B16FA7" wp14:editId="721526FE">
                  <wp:extent cx="900019" cy="7524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092" cy="75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  <w:tcBorders>
              <w:top w:val="nil"/>
              <w:left w:val="nil"/>
              <w:bottom w:val="single" w:sz="24" w:space="0" w:color="00B0F0"/>
              <w:right w:val="nil"/>
            </w:tcBorders>
            <w:shd w:val="clear" w:color="auto" w:fill="8DB3E2" w:themeFill="text2" w:themeFillTint="66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</w:rPr>
            </w:pPr>
            <w:r w:rsidRPr="009E38A5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78FE448" wp14:editId="06355B27">
                  <wp:extent cx="900019" cy="7524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092" cy="75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tcBorders>
              <w:top w:val="nil"/>
              <w:left w:val="nil"/>
              <w:bottom w:val="single" w:sz="24" w:space="0" w:color="00B0F0"/>
              <w:right w:val="nil"/>
            </w:tcBorders>
            <w:shd w:val="clear" w:color="auto" w:fill="E36C0A" w:themeFill="accent6" w:themeFillShade="BF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</w:rPr>
            </w:pPr>
            <w:r w:rsidRPr="009E38A5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9C2C72F" wp14:editId="20602D85">
                  <wp:extent cx="904875" cy="756535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965" cy="759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nil"/>
              <w:left w:val="nil"/>
              <w:bottom w:val="single" w:sz="24" w:space="0" w:color="00B0F0"/>
              <w:right w:val="single" w:sz="24" w:space="0" w:color="00B0F0"/>
            </w:tcBorders>
            <w:shd w:val="clear" w:color="auto" w:fill="00B0F0"/>
          </w:tcPr>
          <w:p w:rsidR="00E26800" w:rsidRPr="009E38A5" w:rsidRDefault="00E26800" w:rsidP="00B85832">
            <w:pPr>
              <w:jc w:val="center"/>
              <w:rPr>
                <w:rFonts w:ascii="Comic Sans MS" w:hAnsi="Comic Sans MS"/>
              </w:rPr>
            </w:pPr>
            <w:r w:rsidRPr="009E38A5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D82B119" wp14:editId="29D0F4AF">
                  <wp:extent cx="895350" cy="74857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407" cy="751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6800" w:rsidRPr="009E38A5" w:rsidRDefault="00E26800" w:rsidP="00E26800">
      <w:pPr>
        <w:jc w:val="both"/>
        <w:rPr>
          <w:rFonts w:ascii="Comic Sans MS" w:hAnsi="Comic Sans MS"/>
          <w:b/>
          <w:sz w:val="40"/>
          <w:szCs w:val="40"/>
          <w:u w:val="single"/>
        </w:rPr>
      </w:pPr>
    </w:p>
    <w:p w:rsidR="00E26800" w:rsidRDefault="00E26800" w:rsidP="00E26800">
      <w:pPr>
        <w:rPr>
          <w:rFonts w:ascii="Comic Sans MS" w:hAnsi="Comic Sans MS"/>
          <w:sz w:val="32"/>
          <w:szCs w:val="32"/>
        </w:rPr>
      </w:pPr>
    </w:p>
    <w:p w:rsidR="00E26800" w:rsidRDefault="00E26800" w:rsidP="00E26800">
      <w:pPr>
        <w:rPr>
          <w:rFonts w:ascii="Comic Sans MS" w:hAnsi="Comic Sans MS"/>
          <w:sz w:val="32"/>
          <w:szCs w:val="32"/>
        </w:rPr>
      </w:pPr>
    </w:p>
    <w:p w:rsidR="00E26800" w:rsidRDefault="00E26800" w:rsidP="00E26800">
      <w:pPr>
        <w:rPr>
          <w:rFonts w:ascii="Comic Sans MS" w:hAnsi="Comic Sans MS"/>
          <w:sz w:val="32"/>
          <w:szCs w:val="32"/>
        </w:rPr>
      </w:pPr>
    </w:p>
    <w:p w:rsidR="00E26800" w:rsidRPr="009E38A5" w:rsidRDefault="00E26800" w:rsidP="00E26800">
      <w:pPr>
        <w:rPr>
          <w:rFonts w:ascii="Comic Sans MS" w:hAnsi="Comic Sans MS"/>
          <w:sz w:val="32"/>
          <w:szCs w:val="32"/>
        </w:rPr>
      </w:pPr>
      <w:r w:rsidRPr="009E38A5">
        <w:rPr>
          <w:rFonts w:ascii="Comic Sans MS" w:hAnsi="Comic Sans MS"/>
          <w:sz w:val="32"/>
          <w:szCs w:val="32"/>
        </w:rPr>
        <w:t>We are working towards becoming a level 1 Rights Respecting School.</w:t>
      </w:r>
    </w:p>
    <w:p w:rsidR="00E26800" w:rsidRDefault="00E26800" w:rsidP="00E26800">
      <w:pPr>
        <w:rPr>
          <w:noProof/>
          <w:color w:val="0000FF"/>
        </w:rPr>
      </w:pPr>
      <w:r w:rsidRPr="009E38A5">
        <w:rPr>
          <w:rFonts w:ascii="Comic Sans MS" w:hAnsi="Comic Sans MS"/>
          <w:sz w:val="32"/>
          <w:szCs w:val="32"/>
        </w:rPr>
        <w:t>This term we are learning about the following rights</w:t>
      </w:r>
      <w:r>
        <w:rPr>
          <w:rFonts w:ascii="Comic Sans MS" w:hAnsi="Comic Sans MS"/>
          <w:sz w:val="32"/>
          <w:szCs w:val="32"/>
        </w:rPr>
        <w:t>:</w:t>
      </w:r>
      <w:r w:rsidRPr="009E38A5">
        <w:rPr>
          <w:noProof/>
          <w:color w:val="0000FF"/>
        </w:rPr>
        <w:t xml:space="preserve"> </w:t>
      </w:r>
    </w:p>
    <w:p w:rsidR="00E26800" w:rsidRPr="00DC0314" w:rsidRDefault="00E26800" w:rsidP="00E26800">
      <w:pPr>
        <w:pStyle w:val="ListParagraph"/>
        <w:numPr>
          <w:ilvl w:val="0"/>
          <w:numId w:val="2"/>
        </w:num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rPr>
          <w:rFonts w:ascii="HfW cursive" w:hAnsi="HfW cursive"/>
          <w:sz w:val="28"/>
          <w:szCs w:val="28"/>
        </w:rPr>
      </w:pPr>
      <w:r w:rsidRPr="00DC0314">
        <w:rPr>
          <w:rFonts w:ascii="HfW cursive" w:hAnsi="HfW cursive"/>
          <w:sz w:val="28"/>
          <w:szCs w:val="28"/>
        </w:rPr>
        <w:t xml:space="preserve">All children have rights no matter what.   Article 2  </w:t>
      </w:r>
    </w:p>
    <w:p w:rsidR="00E26800" w:rsidRDefault="00E26800" w:rsidP="00E26800">
      <w:pPr>
        <w:rPr>
          <w:noProof/>
          <w:color w:val="0000FF"/>
        </w:rPr>
      </w:pPr>
    </w:p>
    <w:p w:rsidR="00E26800" w:rsidRPr="00DC0314" w:rsidRDefault="00E26800" w:rsidP="00E26800">
      <w:pPr>
        <w:pStyle w:val="ListParagraph"/>
        <w:numPr>
          <w:ilvl w:val="0"/>
          <w:numId w:val="2"/>
        </w:num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15" w:color="00B0F0"/>
        </w:pBdr>
        <w:rPr>
          <w:rFonts w:ascii="HfW cursive" w:hAnsi="HfW cursive"/>
          <w:sz w:val="28"/>
          <w:szCs w:val="28"/>
        </w:rPr>
      </w:pPr>
      <w:r w:rsidRPr="00DC0314">
        <w:rPr>
          <w:rFonts w:ascii="HfW cursive" w:hAnsi="HfW cursive"/>
          <w:sz w:val="28"/>
          <w:szCs w:val="28"/>
        </w:rPr>
        <w:t>You have a right to say what you think should happen and be listened to.</w:t>
      </w:r>
      <w:r w:rsidRPr="00DC0314">
        <w:rPr>
          <w:noProof/>
          <w:sz w:val="28"/>
          <w:szCs w:val="28"/>
          <w:lang w:eastAsia="en-GB"/>
        </w:rPr>
        <w:t xml:space="preserve"> </w:t>
      </w:r>
      <w:r w:rsidRPr="00904CC3">
        <w:rPr>
          <w:rFonts w:ascii="HfW cursive" w:hAnsi="HfW cursive"/>
          <w:noProof/>
          <w:sz w:val="28"/>
          <w:szCs w:val="28"/>
          <w:lang w:eastAsia="en-GB"/>
        </w:rPr>
        <w:t>Article 12</w:t>
      </w:r>
    </w:p>
    <w:p w:rsidR="00E26800" w:rsidRPr="00DC0314" w:rsidRDefault="00E26800" w:rsidP="00E26800">
      <w:pPr>
        <w:rPr>
          <w:noProof/>
          <w:color w:val="0000FF"/>
        </w:rPr>
      </w:pPr>
    </w:p>
    <w:p w:rsidR="00E26800" w:rsidRPr="00DC0314" w:rsidRDefault="00E26800" w:rsidP="00E26800">
      <w:pPr>
        <w:pStyle w:val="ListParagraph"/>
        <w:numPr>
          <w:ilvl w:val="0"/>
          <w:numId w:val="2"/>
        </w:num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rPr>
          <w:rFonts w:ascii="HfW cursive" w:hAnsi="HfW cursive"/>
          <w:sz w:val="28"/>
          <w:szCs w:val="28"/>
        </w:rPr>
      </w:pPr>
      <w:r w:rsidRPr="00DC0314">
        <w:rPr>
          <w:rFonts w:ascii="HfW cursive" w:hAnsi="HfW cursive"/>
          <w:sz w:val="28"/>
          <w:szCs w:val="28"/>
        </w:rPr>
        <w:t>You have a right to follow your own religion. Article 14</w:t>
      </w:r>
    </w:p>
    <w:p w:rsidR="00E26800" w:rsidRPr="00DC0314" w:rsidRDefault="00E26800" w:rsidP="00E26800">
      <w:pPr>
        <w:rPr>
          <w:rFonts w:ascii="Comic Sans MS" w:hAnsi="Comic Sans MS"/>
          <w:sz w:val="28"/>
          <w:szCs w:val="28"/>
        </w:rPr>
      </w:pPr>
    </w:p>
    <w:p w:rsidR="00E26800" w:rsidRPr="00DC0314" w:rsidRDefault="00E26800" w:rsidP="00E26800">
      <w:pPr>
        <w:pStyle w:val="ListParagraph"/>
        <w:numPr>
          <w:ilvl w:val="0"/>
          <w:numId w:val="2"/>
        </w:num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</w:pBdr>
        <w:rPr>
          <w:rFonts w:ascii="HfW cursive" w:hAnsi="HfW cursive"/>
          <w:sz w:val="28"/>
          <w:szCs w:val="28"/>
        </w:rPr>
      </w:pPr>
      <w:r w:rsidRPr="00DC0314">
        <w:rPr>
          <w:rFonts w:ascii="HfW cursive" w:hAnsi="HfW cursive"/>
          <w:sz w:val="28"/>
          <w:szCs w:val="28"/>
        </w:rPr>
        <w:t xml:space="preserve">You should be looked after and kept safe. Article 20                                      </w:t>
      </w:r>
    </w:p>
    <w:p w:rsidR="00E26800" w:rsidRDefault="00E26800" w:rsidP="00E26800">
      <w:pPr>
        <w:rPr>
          <w:rFonts w:ascii="Comic Sans MS" w:hAnsi="Comic Sans MS"/>
          <w:sz w:val="32"/>
          <w:szCs w:val="32"/>
        </w:rPr>
      </w:pPr>
    </w:p>
    <w:p w:rsidR="00E26800" w:rsidRPr="00DC0314" w:rsidRDefault="00E26800" w:rsidP="00E26800">
      <w:pPr>
        <w:pStyle w:val="ListParagraph"/>
        <w:numPr>
          <w:ilvl w:val="0"/>
          <w:numId w:val="2"/>
        </w:numPr>
        <w:pBdr>
          <w:top w:val="single" w:sz="18" w:space="0" w:color="00B0F0"/>
          <w:left w:val="single" w:sz="18" w:space="4" w:color="00B0F0"/>
          <w:bottom w:val="single" w:sz="18" w:space="1" w:color="00B0F0"/>
          <w:right w:val="single" w:sz="18" w:space="4" w:color="00B0F0"/>
        </w:pBdr>
        <w:rPr>
          <w:rFonts w:ascii="HfW cursive" w:hAnsi="HfW cursive"/>
          <w:sz w:val="28"/>
          <w:szCs w:val="28"/>
        </w:rPr>
      </w:pPr>
      <w:r w:rsidRPr="00DC0314">
        <w:rPr>
          <w:rFonts w:ascii="HfW cursive" w:hAnsi="HfW cursive"/>
          <w:sz w:val="28"/>
          <w:szCs w:val="28"/>
        </w:rPr>
        <w:t>You have a right to good food and water and see a doctor if you get ill. Article 24</w:t>
      </w:r>
    </w:p>
    <w:p w:rsidR="00E26800" w:rsidRPr="009E38A5" w:rsidRDefault="00E26800" w:rsidP="00E26800">
      <w:pPr>
        <w:rPr>
          <w:rFonts w:ascii="Comic Sans MS" w:hAnsi="Comic Sans MS"/>
          <w:sz w:val="32"/>
          <w:szCs w:val="32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5408" behindDoc="0" locked="0" layoutInCell="1" allowOverlap="1" wp14:anchorId="26AD5959" wp14:editId="634977FB">
            <wp:simplePos x="0" y="0"/>
            <wp:positionH relativeFrom="column">
              <wp:posOffset>3181350</wp:posOffset>
            </wp:positionH>
            <wp:positionV relativeFrom="paragraph">
              <wp:posOffset>344805</wp:posOffset>
            </wp:positionV>
            <wp:extent cx="742950" cy="819150"/>
            <wp:effectExtent l="0" t="0" r="0" b="0"/>
            <wp:wrapNone/>
            <wp:docPr id="16" name="Picture 16" descr="http://www.christthekingprimary.org.uk/wp-content/uploads/2014/05/rightsrespectingcommitmen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ristthekingprimary.org.uk/wp-content/uploads/2014/05/rightsrespectingcommitment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4384" behindDoc="0" locked="0" layoutInCell="1" allowOverlap="1" wp14:anchorId="148CD16C" wp14:editId="794ACBA9">
            <wp:simplePos x="0" y="0"/>
            <wp:positionH relativeFrom="column">
              <wp:posOffset>5848350</wp:posOffset>
            </wp:positionH>
            <wp:positionV relativeFrom="paragraph">
              <wp:posOffset>268605</wp:posOffset>
            </wp:positionV>
            <wp:extent cx="742950" cy="819150"/>
            <wp:effectExtent l="0" t="0" r="0" b="0"/>
            <wp:wrapNone/>
            <wp:docPr id="15" name="Picture 15" descr="http://www.christthekingprimary.org.uk/wp-content/uploads/2014/05/rightsrespectingcommitmen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ristthekingprimary.org.uk/wp-content/uploads/2014/05/rightsrespectingcommitment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 wp14:anchorId="457411C6" wp14:editId="10DAAAAE">
            <wp:simplePos x="0" y="0"/>
            <wp:positionH relativeFrom="column">
              <wp:posOffset>314325</wp:posOffset>
            </wp:positionH>
            <wp:positionV relativeFrom="paragraph">
              <wp:posOffset>268605</wp:posOffset>
            </wp:positionV>
            <wp:extent cx="742950" cy="819150"/>
            <wp:effectExtent l="0" t="0" r="0" b="0"/>
            <wp:wrapNone/>
            <wp:docPr id="11" name="Picture 11" descr="http://www.christthekingprimary.org.uk/wp-content/uploads/2014/05/rightsrespectingcommitmen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ristthekingprimary.org.uk/wp-content/uploads/2014/05/rightsrespectingcommitment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800" w:rsidRDefault="00E26800"/>
    <w:sectPr w:rsidR="00E26800" w:rsidSect="00E26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0CCF"/>
    <w:multiLevelType w:val="hybridMultilevel"/>
    <w:tmpl w:val="D26C2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082"/>
    <w:multiLevelType w:val="multilevel"/>
    <w:tmpl w:val="2F7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97"/>
    <w:rsid w:val="0049249D"/>
    <w:rsid w:val="005F56B6"/>
    <w:rsid w:val="00DF4397"/>
    <w:rsid w:val="00E2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4397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DF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4397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DF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43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5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3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7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0ahUKEwjU77ONwozPAhVDMhoKHVWgBwUQjRwIBw&amp;url=http://www.princehenrys.co.uk/page/?pid%3D196&amp;psig=AFQjCNHZDuMS7lHfgd7Mjj0THyRlJ3HoSg&amp;ust=1473862041112907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google.co.uk/url?sa=i&amp;rct=j&amp;q=&amp;esrc=s&amp;source=images&amp;cd=&amp;cad=rja&amp;uact=8&amp;ved=0CAcQjRxqFQoTCMfk1pzb08cCFWcR2wodkywNRQ&amp;url=http://www.christthekingprimary.org.uk/rights-respecting/&amp;ei=83zkVYefC-ei7AaT2bSoBA&amp;psig=AFQjCNEkUe2484sGlNSZBsRSJrxed_pQhA&amp;ust=1441123901137212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2</cp:revision>
  <dcterms:created xsi:type="dcterms:W3CDTF">2016-11-07T10:00:00Z</dcterms:created>
  <dcterms:modified xsi:type="dcterms:W3CDTF">2016-11-07T10:00:00Z</dcterms:modified>
</cp:coreProperties>
</file>