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9440"/>
      </w:tblGrid>
      <w:tr w:rsidR="0042328C" w:rsidRPr="00A84CAE" w:rsidTr="0042328C">
        <w:tc>
          <w:tcPr>
            <w:tcW w:w="1242" w:type="dxa"/>
            <w:tcBorders>
              <w:bottom w:val="single" w:sz="4" w:space="0" w:color="auto"/>
            </w:tcBorders>
            <w:shd w:val="clear" w:color="auto" w:fill="C00000"/>
          </w:tcPr>
          <w:p w:rsidR="0042328C" w:rsidRPr="00A84CAE" w:rsidRDefault="0074374B" w:rsidP="00A84CAE">
            <w:pPr>
              <w:jc w:val="center"/>
              <w:rPr>
                <w:sz w:val="36"/>
                <w:szCs w:val="36"/>
              </w:rPr>
            </w:pPr>
            <w:bookmarkStart w:id="0" w:name="_GoBack"/>
            <w:r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5EB9BB" wp14:editId="7708137F">
                  <wp:simplePos x="0" y="0"/>
                  <wp:positionH relativeFrom="column">
                    <wp:posOffset>-416560</wp:posOffset>
                  </wp:positionH>
                  <wp:positionV relativeFrom="paragraph">
                    <wp:posOffset>-423545</wp:posOffset>
                  </wp:positionV>
                  <wp:extent cx="1036955" cy="9823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155"/>
                          <a:stretch/>
                        </pic:blipFill>
                        <pic:spPr bwMode="auto">
                          <a:xfrm>
                            <a:off x="0" y="0"/>
                            <a:ext cx="1036955" cy="982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440" w:type="dxa"/>
            <w:shd w:val="clear" w:color="auto" w:fill="C00000"/>
          </w:tcPr>
          <w:p w:rsidR="0042328C" w:rsidRPr="00A84CAE" w:rsidRDefault="0042328C" w:rsidP="00A84CAE">
            <w:pPr>
              <w:jc w:val="center"/>
              <w:rPr>
                <w:b/>
                <w:sz w:val="36"/>
                <w:szCs w:val="36"/>
              </w:rPr>
            </w:pPr>
            <w:r w:rsidRPr="00A84CAE">
              <w:rPr>
                <w:b/>
                <w:sz w:val="36"/>
                <w:szCs w:val="36"/>
              </w:rPr>
              <w:t>English – Year 1</w:t>
            </w:r>
          </w:p>
        </w:tc>
      </w:tr>
      <w:tr w:rsidR="0042328C" w:rsidRPr="00A84CAE" w:rsidTr="0042328C">
        <w:trPr>
          <w:cantSplit/>
          <w:trHeight w:val="185"/>
        </w:trPr>
        <w:tc>
          <w:tcPr>
            <w:tcW w:w="1242" w:type="dxa"/>
            <w:vMerge w:val="restart"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Reading – Word Reading</w:t>
            </w: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apply phonic knowledge and skills as the route to decode words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respond speedily with the correct sound to graphemes for all 40+ phonemes, including, where applicable, alternative sounds for graphemes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accurately by blending sounds in unfamiliar words containing GPCs that have been taught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common exception words, noting unusual correspondences between spelling and sound and where these occur in the words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words containing taught GPCs and –s, -</w:t>
            </w:r>
            <w:proofErr w:type="spellStart"/>
            <w:r w:rsidRPr="00A84CAE">
              <w:rPr>
                <w:sz w:val="24"/>
                <w:szCs w:val="24"/>
              </w:rPr>
              <w:t>es</w:t>
            </w:r>
            <w:proofErr w:type="spellEnd"/>
            <w:r w:rsidRPr="00A84CAE">
              <w:rPr>
                <w:sz w:val="24"/>
                <w:szCs w:val="24"/>
              </w:rPr>
              <w:t>, -</w:t>
            </w:r>
            <w:proofErr w:type="spellStart"/>
            <w:r w:rsidRPr="00A84CAE">
              <w:rPr>
                <w:sz w:val="24"/>
                <w:szCs w:val="24"/>
              </w:rPr>
              <w:t>ed</w:t>
            </w:r>
            <w:proofErr w:type="spellEnd"/>
            <w:r w:rsidRPr="00A84CAE">
              <w:rPr>
                <w:sz w:val="24"/>
                <w:szCs w:val="24"/>
              </w:rPr>
              <w:t>, -</w:t>
            </w:r>
            <w:proofErr w:type="spellStart"/>
            <w:r w:rsidRPr="00A84CAE">
              <w:rPr>
                <w:sz w:val="24"/>
                <w:szCs w:val="24"/>
              </w:rPr>
              <w:t>er</w:t>
            </w:r>
            <w:proofErr w:type="spellEnd"/>
            <w:r w:rsidRPr="00A84CAE">
              <w:rPr>
                <w:sz w:val="24"/>
                <w:szCs w:val="24"/>
              </w:rPr>
              <w:t xml:space="preserve"> and –</w:t>
            </w:r>
            <w:proofErr w:type="spellStart"/>
            <w:r w:rsidRPr="00A84CAE">
              <w:rPr>
                <w:sz w:val="24"/>
                <w:szCs w:val="24"/>
              </w:rPr>
              <w:t>est</w:t>
            </w:r>
            <w:proofErr w:type="spellEnd"/>
            <w:r w:rsidRPr="00A84CAE">
              <w:rPr>
                <w:sz w:val="24"/>
                <w:szCs w:val="24"/>
              </w:rPr>
              <w:t xml:space="preserve"> endings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other words of more than one syllable that contain taught GPCs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words with contractions and understand that the apostrophe represents the omitted letter(s)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aloud accurately books that are consistent with their developing phonic knowledge and that do not require them to use other strategies to work out words</w:t>
            </w:r>
          </w:p>
        </w:tc>
      </w:tr>
      <w:tr w:rsidR="0042328C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  <w:tcBorders>
              <w:bottom w:val="single" w:sz="18" w:space="0" w:color="C00000"/>
            </w:tcBorders>
          </w:tcPr>
          <w:p w:rsidR="0042328C" w:rsidRPr="00A84CAE" w:rsidRDefault="0042328C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re-read these books to build up their fluency and confidence in word reading</w:t>
            </w:r>
          </w:p>
        </w:tc>
      </w:tr>
      <w:tr w:rsidR="0042328C" w:rsidRPr="00A84CAE" w:rsidTr="0042328C">
        <w:trPr>
          <w:cantSplit/>
          <w:trHeight w:val="133"/>
        </w:trPr>
        <w:tc>
          <w:tcPr>
            <w:tcW w:w="1242" w:type="dxa"/>
            <w:vMerge w:val="restart"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Reading – Comprehension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2328C" w:rsidRPr="00A84CAE" w:rsidRDefault="00486E7F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Develop pleasure in reading, motivation to read, vocabulary and understanding by:</w:t>
            </w:r>
          </w:p>
          <w:p w:rsidR="00486E7F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listening to and discussing a wide range of poems, stories and non-fiction at a level beyond that at which they can read independently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being encouraged to link what they read or hear read to their own experiences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becoming familiar with key stories, fairy stories and traditional tales, retelling them and considering their particular characteristics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recognising and joining in with predictable phrases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learning to appreciate rhymes and poems, and to recite some by heart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discussing word meanings, linking new meanings to those already known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Understand both the books they can already read accurately and fluently and those they listen to by:</w:t>
            </w:r>
          </w:p>
          <w:p w:rsidR="00486E7F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drawing on what they already know or on background information and vocabulary provided by the teacher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checking that the text makes sense to them as they read and correcting inaccurate reading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discussing the significance of the title and events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making inferences on the basis of what is being said and done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predicting what might happen on the basis of that has been read so far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486E7F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Participate in discussion about what is read to them, taking turns and listening to what others say</w:t>
            </w:r>
          </w:p>
        </w:tc>
      </w:tr>
      <w:tr w:rsidR="0042328C" w:rsidRPr="00A84CAE" w:rsidTr="0042328C">
        <w:trPr>
          <w:cantSplit/>
          <w:trHeight w:val="12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  <w:tcBorders>
              <w:bottom w:val="single" w:sz="18" w:space="0" w:color="C00000"/>
            </w:tcBorders>
          </w:tcPr>
          <w:p w:rsidR="0042328C" w:rsidRPr="00A84CAE" w:rsidRDefault="00486E7F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Explain clearly their understanding of what is read to them</w:t>
            </w:r>
          </w:p>
        </w:tc>
      </w:tr>
      <w:tr w:rsidR="00A84CAE" w:rsidRPr="00A84CAE" w:rsidTr="0042328C">
        <w:trPr>
          <w:cantSplit/>
          <w:trHeight w:val="185"/>
        </w:trPr>
        <w:tc>
          <w:tcPr>
            <w:tcW w:w="1242" w:type="dxa"/>
            <w:vMerge w:val="restart"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Writing – Transcription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A84CAE" w:rsidRPr="00A84CAE" w:rsidRDefault="00A84CAE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Spell:</w:t>
            </w:r>
          </w:p>
          <w:p w:rsidR="00A84CAE" w:rsidRPr="00A84CAE" w:rsidRDefault="00A84CAE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words containing each of the 40+ phonemes already taught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common exception words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the days of the week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Name the letters of the alphabet:</w:t>
            </w:r>
          </w:p>
          <w:p w:rsidR="00A84CAE" w:rsidRPr="00A84CAE" w:rsidRDefault="00A84CAE" w:rsidP="00A84CAE">
            <w:pPr>
              <w:jc w:val="both"/>
              <w:rPr>
                <w:b/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naming the letters of the alphabet in order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using letter names to distinguish between alternative spellings of the same sound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>Add prefixes and suffixes:</w:t>
            </w:r>
          </w:p>
          <w:p w:rsidR="00A84CAE" w:rsidRPr="00A84CAE" w:rsidRDefault="00A84CAE" w:rsidP="00A84CAE">
            <w:pPr>
              <w:pStyle w:val="bulletundernumbered"/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 xml:space="preserve">using the spelling rule for adding </w:t>
            </w:r>
            <w:r w:rsidRPr="00A84CAE">
              <w:rPr>
                <w:rFonts w:asciiTheme="minorHAnsi" w:hAnsiTheme="minorHAnsi"/>
                <w:i/>
                <w:iCs/>
              </w:rPr>
              <w:t>–</w:t>
            </w:r>
            <w:r w:rsidRPr="00A84CAE">
              <w:rPr>
                <w:rFonts w:asciiTheme="minorHAnsi" w:hAnsiTheme="minorHAnsi"/>
                <w:iCs/>
              </w:rPr>
              <w:t>s</w:t>
            </w:r>
            <w:r w:rsidRPr="00A84CAE">
              <w:rPr>
                <w:rFonts w:asciiTheme="minorHAnsi" w:hAnsiTheme="minorHAnsi"/>
              </w:rPr>
              <w:t xml:space="preserve"> or </w:t>
            </w:r>
            <w:r w:rsidRPr="00A84CAE">
              <w:rPr>
                <w:rFonts w:asciiTheme="minorHAnsi" w:hAnsiTheme="minorHAnsi"/>
                <w:i/>
                <w:iCs/>
              </w:rPr>
              <w:t>–</w:t>
            </w:r>
            <w:proofErr w:type="spellStart"/>
            <w:r w:rsidRPr="00A84CAE">
              <w:rPr>
                <w:rFonts w:asciiTheme="minorHAnsi" w:hAnsiTheme="minorHAnsi"/>
                <w:iCs/>
              </w:rPr>
              <w:t>es</w:t>
            </w:r>
            <w:proofErr w:type="spellEnd"/>
            <w:r w:rsidRPr="00A84CAE">
              <w:rPr>
                <w:rFonts w:asciiTheme="minorHAnsi" w:hAnsiTheme="minorHAnsi"/>
              </w:rPr>
              <w:t xml:space="preserve"> as the plural marker for nouns and the third person singular marker for verbs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60" w:line="240" w:lineRule="auto"/>
              <w:jc w:val="both"/>
              <w:rPr>
                <w:rFonts w:asciiTheme="minorHAnsi" w:hAnsiTheme="minorHAnsi"/>
                <w:i/>
                <w:iCs/>
              </w:rPr>
            </w:pPr>
            <w:r w:rsidRPr="00A84CAE">
              <w:rPr>
                <w:rFonts w:asciiTheme="minorHAnsi" w:hAnsiTheme="minorHAnsi"/>
              </w:rPr>
              <w:t xml:space="preserve">using the prefix </w:t>
            </w:r>
            <w:r w:rsidRPr="00A84CAE">
              <w:rPr>
                <w:rFonts w:asciiTheme="minorHAnsi" w:hAnsiTheme="minorHAnsi"/>
                <w:iCs/>
              </w:rPr>
              <w:t>un</w:t>
            </w:r>
            <w:r w:rsidRPr="00A84CAE">
              <w:rPr>
                <w:rFonts w:asciiTheme="minorHAnsi" w:hAnsiTheme="minorHAnsi"/>
                <w:i/>
                <w:iCs/>
              </w:rPr>
              <w:t>–</w:t>
            </w:r>
          </w:p>
        </w:tc>
      </w:tr>
      <w:tr w:rsidR="00A84CAE" w:rsidRPr="00A84CAE" w:rsidTr="0042328C">
        <w:trPr>
          <w:cantSplit/>
          <w:trHeight w:val="181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120" w:line="240" w:lineRule="auto"/>
              <w:ind w:left="567"/>
              <w:jc w:val="both"/>
              <w:rPr>
                <w:rFonts w:asciiTheme="minorHAnsi" w:hAnsiTheme="minorHAnsi"/>
                <w:iCs/>
              </w:rPr>
            </w:pPr>
            <w:r w:rsidRPr="00A84CAE">
              <w:rPr>
                <w:rFonts w:asciiTheme="minorHAnsi" w:hAnsiTheme="minorHAnsi"/>
              </w:rPr>
              <w:t xml:space="preserve">using </w:t>
            </w:r>
            <w:r w:rsidRPr="00A84CAE">
              <w:rPr>
                <w:rFonts w:asciiTheme="minorHAnsi" w:hAnsiTheme="minorHAnsi"/>
                <w:i/>
                <w:iCs/>
              </w:rPr>
              <w:t>–</w:t>
            </w:r>
            <w:proofErr w:type="spellStart"/>
            <w:r w:rsidRPr="00A84CAE">
              <w:rPr>
                <w:rFonts w:asciiTheme="minorHAnsi" w:hAnsiTheme="minorHAnsi"/>
                <w:iCs/>
              </w:rPr>
              <w:t>ing</w:t>
            </w:r>
            <w:proofErr w:type="spellEnd"/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/>
                <w:iCs/>
              </w:rPr>
              <w:t xml:space="preserve"> –</w:t>
            </w:r>
            <w:proofErr w:type="spellStart"/>
            <w:r w:rsidRPr="00A84CAE">
              <w:rPr>
                <w:rFonts w:asciiTheme="minorHAnsi" w:hAnsiTheme="minorHAnsi"/>
                <w:iCs/>
              </w:rPr>
              <w:t>ed</w:t>
            </w:r>
            <w:proofErr w:type="spellEnd"/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/>
                <w:iCs/>
              </w:rPr>
              <w:t xml:space="preserve"> –</w:t>
            </w:r>
            <w:proofErr w:type="spellStart"/>
            <w:r w:rsidRPr="00A84CAE">
              <w:rPr>
                <w:rFonts w:asciiTheme="minorHAnsi" w:hAnsiTheme="minorHAnsi"/>
                <w:iCs/>
              </w:rPr>
              <w:t>er</w:t>
            </w:r>
            <w:proofErr w:type="spellEnd"/>
            <w:r w:rsidRPr="00A84CAE">
              <w:rPr>
                <w:rFonts w:asciiTheme="minorHAnsi" w:hAnsiTheme="minorHAnsi"/>
                <w:i/>
                <w:iCs/>
              </w:rPr>
              <w:t xml:space="preserve"> </w:t>
            </w:r>
            <w:r w:rsidRPr="00A84CAE">
              <w:rPr>
                <w:rFonts w:asciiTheme="minorHAnsi" w:hAnsiTheme="minorHAnsi"/>
              </w:rPr>
              <w:t xml:space="preserve">and </w:t>
            </w:r>
            <w:r w:rsidRPr="00A84CAE">
              <w:rPr>
                <w:rFonts w:asciiTheme="minorHAnsi" w:hAnsiTheme="minorHAnsi"/>
                <w:i/>
                <w:iCs/>
              </w:rPr>
              <w:t>–</w:t>
            </w:r>
            <w:proofErr w:type="spellStart"/>
            <w:r w:rsidRPr="00A84CAE">
              <w:rPr>
                <w:rFonts w:asciiTheme="minorHAnsi" w:hAnsiTheme="minorHAnsi"/>
                <w:iCs/>
              </w:rPr>
              <w:t>est</w:t>
            </w:r>
            <w:proofErr w:type="spellEnd"/>
            <w:r w:rsidRPr="00A84CAE">
              <w:rPr>
                <w:rFonts w:asciiTheme="minorHAnsi" w:hAnsiTheme="minorHAnsi"/>
              </w:rPr>
              <w:t xml:space="preserve"> where no change is needed in the spelling of root words [for example, </w:t>
            </w:r>
            <w:r w:rsidRPr="00A84CAE">
              <w:rPr>
                <w:rFonts w:asciiTheme="minorHAnsi" w:hAnsiTheme="minorHAnsi"/>
                <w:iCs/>
              </w:rPr>
              <w:t>helping</w:t>
            </w:r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Cs/>
              </w:rPr>
              <w:t xml:space="preserve"> helped</w:t>
            </w:r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Cs/>
              </w:rPr>
              <w:t xml:space="preserve"> helper</w:t>
            </w:r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Cs/>
              </w:rPr>
              <w:t xml:space="preserve"> eating</w:t>
            </w:r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Cs/>
              </w:rPr>
              <w:t xml:space="preserve"> quicker</w:t>
            </w:r>
            <w:r w:rsidRPr="00A84CAE">
              <w:rPr>
                <w:rFonts w:asciiTheme="minorHAnsi" w:hAnsiTheme="minorHAnsi"/>
              </w:rPr>
              <w:t>,</w:t>
            </w:r>
            <w:r w:rsidRPr="00A84CAE">
              <w:rPr>
                <w:rFonts w:asciiTheme="minorHAnsi" w:hAnsiTheme="minorHAnsi"/>
                <w:iCs/>
              </w:rPr>
              <w:t xml:space="preserve"> quickest]</w:t>
            </w:r>
          </w:p>
        </w:tc>
      </w:tr>
      <w:tr w:rsidR="00A84CAE" w:rsidRPr="00A84CAE" w:rsidTr="00A84CAE">
        <w:trPr>
          <w:cantSplit/>
          <w:trHeight w:val="366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  <w:tcBorders>
              <w:bottom w:val="single" w:sz="4" w:space="0" w:color="auto"/>
            </w:tcBorders>
          </w:tcPr>
          <w:p w:rsidR="00A84CAE" w:rsidRPr="00A84CAE" w:rsidRDefault="00A84CAE" w:rsidP="00A84CAE">
            <w:pPr>
              <w:pStyle w:val="bulletundertext"/>
              <w:numPr>
                <w:ilvl w:val="0"/>
                <w:numId w:val="0"/>
              </w:numPr>
              <w:spacing w:after="120" w:line="240" w:lineRule="auto"/>
              <w:ind w:left="357" w:hanging="357"/>
              <w:jc w:val="both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 xml:space="preserve">apply simple spelling rules and guidance, as listed in </w:t>
            </w:r>
            <w:hyperlink w:anchor="EnglishAppendix1Spelling" w:history="1">
              <w:r w:rsidRPr="00A84CAE">
                <w:rPr>
                  <w:rStyle w:val="Hyperlink"/>
                  <w:rFonts w:asciiTheme="minorHAnsi" w:hAnsiTheme="minorHAnsi"/>
                </w:rPr>
                <w:t>English Appendix 1</w:t>
              </w:r>
            </w:hyperlink>
          </w:p>
        </w:tc>
      </w:tr>
      <w:tr w:rsidR="00A84CAE" w:rsidRPr="00A84CAE" w:rsidTr="0042328C">
        <w:trPr>
          <w:cantSplit/>
          <w:trHeight w:val="365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  <w:tcBorders>
              <w:bottom w:val="single" w:sz="18" w:space="0" w:color="C00000"/>
            </w:tcBorders>
          </w:tcPr>
          <w:p w:rsidR="00A84CAE" w:rsidRPr="00A84CAE" w:rsidRDefault="00A84CAE" w:rsidP="00A84CAE">
            <w:pPr>
              <w:pStyle w:val="bulletundertext"/>
              <w:numPr>
                <w:ilvl w:val="0"/>
                <w:numId w:val="0"/>
              </w:numPr>
              <w:spacing w:after="120" w:line="240" w:lineRule="auto"/>
              <w:ind w:left="357" w:hanging="357"/>
              <w:jc w:val="both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write from memory simple sentences dictated by the teacher that include words using the GPCs and common exception words taught so far</w:t>
            </w:r>
          </w:p>
        </w:tc>
      </w:tr>
      <w:tr w:rsidR="0042328C" w:rsidRPr="00A84CAE" w:rsidTr="0042328C">
        <w:trPr>
          <w:cantSplit/>
          <w:trHeight w:val="329"/>
        </w:trPr>
        <w:tc>
          <w:tcPr>
            <w:tcW w:w="1242" w:type="dxa"/>
            <w:vMerge w:val="restart"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Handwriting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2328C" w:rsidRPr="00A84CAE" w:rsidRDefault="00A84CAE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sit correctly at a table, holding a pencil comfortably and correctly</w:t>
            </w:r>
          </w:p>
        </w:tc>
      </w:tr>
      <w:tr w:rsidR="0042328C" w:rsidRPr="00A84CAE" w:rsidTr="0042328C">
        <w:trPr>
          <w:cantSplit/>
          <w:trHeight w:val="326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A84CAE" w:rsidP="00A84CAE">
            <w:pPr>
              <w:pStyle w:val="bulletundertext"/>
              <w:numPr>
                <w:ilvl w:val="0"/>
                <w:numId w:val="0"/>
              </w:numPr>
              <w:spacing w:after="120" w:line="240" w:lineRule="auto"/>
              <w:ind w:left="357" w:hanging="357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begin to form lower-case letters in the correct direction, starting and finishing in the right place</w:t>
            </w:r>
          </w:p>
        </w:tc>
      </w:tr>
      <w:tr w:rsidR="0042328C" w:rsidRPr="00A84CAE" w:rsidTr="0042328C">
        <w:trPr>
          <w:cantSplit/>
          <w:trHeight w:val="326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A84CAE" w:rsidRPr="00A84CAE" w:rsidRDefault="00A84CAE" w:rsidP="00A84CAE">
            <w:pPr>
              <w:pStyle w:val="bulletundertext"/>
              <w:numPr>
                <w:ilvl w:val="0"/>
                <w:numId w:val="0"/>
              </w:numPr>
              <w:spacing w:after="120" w:line="240" w:lineRule="auto"/>
              <w:ind w:left="357" w:hanging="357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form capital letters</w:t>
            </w:r>
          </w:p>
        </w:tc>
      </w:tr>
      <w:tr w:rsidR="0042328C" w:rsidRPr="00A84CAE" w:rsidTr="0042328C">
        <w:trPr>
          <w:cantSplit/>
          <w:trHeight w:val="326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A84CAE" w:rsidP="00A84CAE">
            <w:pPr>
              <w:pStyle w:val="bulletundertext"/>
              <w:numPr>
                <w:ilvl w:val="0"/>
                <w:numId w:val="0"/>
              </w:numPr>
              <w:spacing w:after="120" w:line="240" w:lineRule="auto"/>
              <w:ind w:left="357" w:hanging="357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form digits 0-9</w:t>
            </w:r>
          </w:p>
        </w:tc>
      </w:tr>
      <w:tr w:rsidR="0042328C" w:rsidRPr="00A84CAE" w:rsidTr="0042328C">
        <w:trPr>
          <w:cantSplit/>
          <w:trHeight w:val="326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  <w:tcBorders>
              <w:bottom w:val="single" w:sz="18" w:space="0" w:color="C00000"/>
            </w:tcBorders>
          </w:tcPr>
          <w:p w:rsidR="0042328C" w:rsidRPr="00A84CAE" w:rsidRDefault="00A84CAE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understand which letters belong to which handwriting ‘families’ (i.e. letters that are formed in similar ways) and to practise these</w:t>
            </w:r>
          </w:p>
        </w:tc>
      </w:tr>
      <w:tr w:rsidR="0042328C" w:rsidRPr="00A84CAE" w:rsidTr="0042328C">
        <w:trPr>
          <w:cantSplit/>
          <w:trHeight w:val="273"/>
        </w:trPr>
        <w:tc>
          <w:tcPr>
            <w:tcW w:w="1242" w:type="dxa"/>
            <w:vMerge w:val="restart"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 xml:space="preserve">Writing </w:t>
            </w:r>
            <w:r w:rsidR="00A84CAE" w:rsidRPr="00A84CAE">
              <w:rPr>
                <w:sz w:val="32"/>
                <w:szCs w:val="32"/>
              </w:rPr>
              <w:t>–</w:t>
            </w:r>
            <w:r w:rsidRPr="00A84CAE">
              <w:rPr>
                <w:sz w:val="32"/>
                <w:szCs w:val="32"/>
              </w:rPr>
              <w:t xml:space="preserve"> Composition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A84CAE" w:rsidRPr="00A84CAE" w:rsidRDefault="00A84CAE" w:rsidP="00A84CAE">
            <w:pPr>
              <w:pStyle w:val="bulletundernumbered"/>
              <w:numPr>
                <w:ilvl w:val="0"/>
                <w:numId w:val="1"/>
              </w:numPr>
              <w:spacing w:after="60"/>
              <w:rPr>
                <w:rFonts w:asciiTheme="minorHAnsi" w:hAnsiTheme="minorHAnsi"/>
                <w:b/>
              </w:rPr>
            </w:pPr>
            <w:r w:rsidRPr="00A84CAE">
              <w:rPr>
                <w:rFonts w:asciiTheme="minorHAnsi" w:hAnsiTheme="minorHAnsi"/>
                <w:b/>
              </w:rPr>
              <w:t>Write sentences by:</w:t>
            </w:r>
          </w:p>
          <w:p w:rsidR="00A84CAE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saying out loud what they are going to write about</w:t>
            </w:r>
          </w:p>
        </w:tc>
      </w:tr>
      <w:tr w:rsidR="0042328C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composing a sentence orally before writing it</w:t>
            </w:r>
          </w:p>
        </w:tc>
      </w:tr>
      <w:tr w:rsidR="0042328C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sequencing sentences to form short narratives</w:t>
            </w:r>
          </w:p>
        </w:tc>
      </w:tr>
      <w:tr w:rsidR="0042328C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re-reading what they have written to check that it makes sense</w:t>
            </w:r>
          </w:p>
        </w:tc>
      </w:tr>
      <w:tr w:rsidR="0042328C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</w:tcPr>
          <w:p w:rsidR="0042328C" w:rsidRPr="00A84CAE" w:rsidRDefault="00A84CAE" w:rsidP="00A84CAE">
            <w:pPr>
              <w:pStyle w:val="bulletundernumbered"/>
              <w:numPr>
                <w:ilvl w:val="0"/>
                <w:numId w:val="0"/>
              </w:numPr>
              <w:spacing w:after="12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discuss what they have written with the teacher or other pupils</w:t>
            </w:r>
          </w:p>
        </w:tc>
      </w:tr>
      <w:tr w:rsidR="0042328C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42328C" w:rsidRPr="00A84CAE" w:rsidRDefault="0042328C" w:rsidP="00A84CAE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440" w:type="dxa"/>
            <w:tcBorders>
              <w:bottom w:val="single" w:sz="18" w:space="0" w:color="C00000"/>
            </w:tcBorders>
          </w:tcPr>
          <w:p w:rsidR="0042328C" w:rsidRPr="00A84CAE" w:rsidRDefault="00A84CAE" w:rsidP="00A84CAE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read aloud their writing clearly enough to be heard by their peers and the teacher</w:t>
            </w:r>
          </w:p>
        </w:tc>
      </w:tr>
      <w:tr w:rsidR="00A84CAE" w:rsidRPr="00A84CAE" w:rsidTr="0042328C">
        <w:trPr>
          <w:cantSplit/>
          <w:trHeight w:val="273"/>
        </w:trPr>
        <w:tc>
          <w:tcPr>
            <w:tcW w:w="1242" w:type="dxa"/>
            <w:vMerge w:val="restart"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Writing – Vocabulary, Grammar and Punctuation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A84CAE" w:rsidRPr="00A84CAE" w:rsidRDefault="00A84CAE" w:rsidP="001707D7">
            <w:pPr>
              <w:pStyle w:val="ListParagraph"/>
              <w:numPr>
                <w:ilvl w:val="0"/>
                <w:numId w:val="1"/>
              </w:numPr>
              <w:tabs>
                <w:tab w:val="left" w:pos="1268"/>
              </w:tabs>
              <w:jc w:val="both"/>
              <w:rPr>
                <w:b/>
                <w:sz w:val="24"/>
                <w:szCs w:val="24"/>
              </w:rPr>
            </w:pPr>
            <w:r w:rsidRPr="00A84CAE">
              <w:rPr>
                <w:b/>
                <w:sz w:val="24"/>
                <w:szCs w:val="24"/>
              </w:rPr>
              <w:t xml:space="preserve">Develop their understanding of the concepts set out in </w:t>
            </w:r>
            <w:hyperlink w:anchor="EnglishAppendix2Vocabulary" w:history="1">
              <w:r w:rsidRPr="00A84CAE">
                <w:rPr>
                  <w:rStyle w:val="Hyperlink"/>
                  <w:rFonts w:asciiTheme="minorHAnsi" w:hAnsiTheme="minorHAnsi" w:cs="Arial"/>
                  <w:b/>
                  <w:szCs w:val="24"/>
                </w:rPr>
                <w:t>English Appendix 2</w:t>
              </w:r>
            </w:hyperlink>
            <w:r w:rsidRPr="00A84CAE">
              <w:rPr>
                <w:b/>
                <w:sz w:val="24"/>
                <w:szCs w:val="24"/>
              </w:rPr>
              <w:t xml:space="preserve"> by:</w:t>
            </w:r>
          </w:p>
          <w:p w:rsidR="00A84CAE" w:rsidRPr="00A84CAE" w:rsidRDefault="00A84CAE" w:rsidP="001707D7">
            <w:pPr>
              <w:pStyle w:val="bulletundernumbered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leaving spaces between words</w:t>
            </w:r>
          </w:p>
        </w:tc>
      </w:tr>
      <w:tr w:rsidR="00A84CAE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9440" w:type="dxa"/>
          </w:tcPr>
          <w:p w:rsidR="00A84CAE" w:rsidRPr="00A84CAE" w:rsidRDefault="00A84CAE" w:rsidP="001707D7">
            <w:pPr>
              <w:pStyle w:val="bulletundernumbered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 xml:space="preserve">joining words and joining clauses using </w:t>
            </w:r>
            <w:r w:rsidRPr="00A84CAE">
              <w:rPr>
                <w:rFonts w:asciiTheme="minorHAnsi" w:hAnsiTheme="minorHAnsi"/>
                <w:iCs/>
              </w:rPr>
              <w:t>and</w:t>
            </w:r>
          </w:p>
        </w:tc>
      </w:tr>
      <w:tr w:rsidR="00A84CAE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9440" w:type="dxa"/>
          </w:tcPr>
          <w:p w:rsidR="00A84CAE" w:rsidRPr="00A84CAE" w:rsidRDefault="00A84CAE" w:rsidP="001707D7">
            <w:pPr>
              <w:pStyle w:val="bulletundernumbered"/>
              <w:numPr>
                <w:ilvl w:val="0"/>
                <w:numId w:val="0"/>
              </w:numPr>
              <w:spacing w:after="60"/>
              <w:ind w:left="567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beginning to punctuate sentences using a capital letter and a full stop, question mark or exclamation mark</w:t>
            </w:r>
          </w:p>
        </w:tc>
      </w:tr>
      <w:tr w:rsidR="00A84CAE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9440" w:type="dxa"/>
          </w:tcPr>
          <w:p w:rsidR="00A84CAE" w:rsidRPr="00A84CAE" w:rsidRDefault="00A84CAE" w:rsidP="001707D7">
            <w:pPr>
              <w:pStyle w:val="bulletundernumbered"/>
              <w:numPr>
                <w:ilvl w:val="0"/>
                <w:numId w:val="0"/>
              </w:numPr>
              <w:spacing w:after="60"/>
              <w:ind w:left="567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using a capital letter for names of people, places, the days of the week, and the personal pronoun ‘I’</w:t>
            </w:r>
          </w:p>
        </w:tc>
      </w:tr>
      <w:tr w:rsidR="00A84CAE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9440" w:type="dxa"/>
          </w:tcPr>
          <w:p w:rsidR="00A84CAE" w:rsidRPr="00A84CAE" w:rsidRDefault="00A84CAE" w:rsidP="001707D7">
            <w:pPr>
              <w:pStyle w:val="bulletundernumbered"/>
              <w:numPr>
                <w:ilvl w:val="0"/>
                <w:numId w:val="0"/>
              </w:numPr>
              <w:spacing w:after="120"/>
              <w:rPr>
                <w:rFonts w:asciiTheme="minorHAnsi" w:hAnsiTheme="minorHAnsi"/>
              </w:rPr>
            </w:pPr>
            <w:r w:rsidRPr="00A84CAE">
              <w:rPr>
                <w:rFonts w:asciiTheme="minorHAnsi" w:hAnsiTheme="minorHAnsi"/>
              </w:rPr>
              <w:t>learning the grammar for year 1 in English Appendix 2</w:t>
            </w:r>
          </w:p>
        </w:tc>
      </w:tr>
      <w:tr w:rsidR="00A84CAE" w:rsidRPr="00A84CAE" w:rsidTr="0042328C">
        <w:trPr>
          <w:cantSplit/>
          <w:trHeight w:val="272"/>
        </w:trPr>
        <w:tc>
          <w:tcPr>
            <w:tcW w:w="1242" w:type="dxa"/>
            <w:vMerge/>
            <w:shd w:val="clear" w:color="auto" w:fill="C00000"/>
            <w:textDirection w:val="tbRl"/>
          </w:tcPr>
          <w:p w:rsidR="00A84CAE" w:rsidRPr="00A84CAE" w:rsidRDefault="00A84CAE" w:rsidP="00A84CAE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9440" w:type="dxa"/>
          </w:tcPr>
          <w:p w:rsidR="00A84CAE" w:rsidRPr="00A84CAE" w:rsidRDefault="00A84CAE" w:rsidP="001707D7">
            <w:pPr>
              <w:jc w:val="both"/>
              <w:rPr>
                <w:sz w:val="24"/>
                <w:szCs w:val="24"/>
              </w:rPr>
            </w:pPr>
            <w:r w:rsidRPr="00A84CAE">
              <w:rPr>
                <w:sz w:val="24"/>
                <w:szCs w:val="24"/>
              </w:rPr>
              <w:t>use the grammatical terminology in English Appendix 2 in discussing their writing for Year  - letter,  capital letter, word, singular, plural, sentence, punctuation, full stop, question mark, exclamation mark</w:t>
            </w:r>
          </w:p>
        </w:tc>
      </w:tr>
    </w:tbl>
    <w:p w:rsidR="00A84CAE" w:rsidRDefault="00A84CAE" w:rsidP="00A84CAE">
      <w:pPr>
        <w:spacing w:line="240" w:lineRule="auto"/>
        <w:jc w:val="both"/>
        <w:rPr>
          <w:sz w:val="24"/>
          <w:szCs w:val="24"/>
        </w:rPr>
      </w:pPr>
    </w:p>
    <w:p w:rsidR="00BC57F3" w:rsidRPr="00A84CAE" w:rsidRDefault="00AF1114" w:rsidP="00AF1114">
      <w:pPr>
        <w:rPr>
          <w:sz w:val="24"/>
          <w:szCs w:val="24"/>
        </w:rPr>
      </w:pPr>
      <w:r>
        <w:rPr>
          <w:sz w:val="24"/>
          <w:szCs w:val="24"/>
        </w:rPr>
        <w:t xml:space="preserve">Programme of study and appendices can be found at: </w:t>
      </w:r>
      <w:r w:rsidRPr="00AF1114">
        <w:rPr>
          <w:sz w:val="24"/>
          <w:szCs w:val="24"/>
        </w:rPr>
        <w:t>https://www.gov.uk/government/publications/national-curriculum-in-england-english-programmes-of-study/national-curriculum-in-england-english-programmes-of-study</w:t>
      </w:r>
    </w:p>
    <w:sectPr w:rsidR="00BC57F3" w:rsidRPr="00A84CAE" w:rsidSect="00423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DE" w:rsidRDefault="006611DE" w:rsidP="0074374B">
      <w:pPr>
        <w:spacing w:after="0" w:line="240" w:lineRule="auto"/>
      </w:pPr>
      <w:r>
        <w:separator/>
      </w:r>
    </w:p>
  </w:endnote>
  <w:endnote w:type="continuationSeparator" w:id="0">
    <w:p w:rsidR="006611DE" w:rsidRDefault="006611DE" w:rsidP="0074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DE" w:rsidRDefault="006611DE" w:rsidP="0074374B">
      <w:pPr>
        <w:spacing w:after="0" w:line="240" w:lineRule="auto"/>
      </w:pPr>
      <w:r>
        <w:separator/>
      </w:r>
    </w:p>
  </w:footnote>
  <w:footnote w:type="continuationSeparator" w:id="0">
    <w:p w:rsidR="006611DE" w:rsidRDefault="006611DE" w:rsidP="00743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636C"/>
    <w:multiLevelType w:val="hybridMultilevel"/>
    <w:tmpl w:val="4210C598"/>
    <w:lvl w:ilvl="0" w:tplc="198ED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72A02"/>
    <w:multiLevelType w:val="hybridMultilevel"/>
    <w:tmpl w:val="76DC6336"/>
    <w:lvl w:ilvl="0" w:tplc="198ED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8C"/>
    <w:rsid w:val="0042328C"/>
    <w:rsid w:val="00486E7F"/>
    <w:rsid w:val="006611DE"/>
    <w:rsid w:val="0074374B"/>
    <w:rsid w:val="00A84CAE"/>
    <w:rsid w:val="00AF1114"/>
    <w:rsid w:val="00B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111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E7F"/>
    <w:pPr>
      <w:ind w:left="720"/>
      <w:contextualSpacing/>
    </w:pPr>
  </w:style>
  <w:style w:type="paragraph" w:customStyle="1" w:styleId="bulletundernumbered">
    <w:name w:val="bullet (under numbered)"/>
    <w:rsid w:val="00486E7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84CAE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A84CAE"/>
    <w:pPr>
      <w:numPr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F1114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4B"/>
  </w:style>
  <w:style w:type="paragraph" w:styleId="Footer">
    <w:name w:val="footer"/>
    <w:basedOn w:val="Normal"/>
    <w:link w:val="FooterChar"/>
    <w:uiPriority w:val="99"/>
    <w:unhideWhenUsed/>
    <w:rsid w:val="0074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111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E7F"/>
    <w:pPr>
      <w:ind w:left="720"/>
      <w:contextualSpacing/>
    </w:pPr>
  </w:style>
  <w:style w:type="paragraph" w:customStyle="1" w:styleId="bulletundernumbered">
    <w:name w:val="bullet (under numbered)"/>
    <w:rsid w:val="00486E7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84CAE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A84CAE"/>
    <w:pPr>
      <w:numPr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F1114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4B"/>
  </w:style>
  <w:style w:type="paragraph" w:styleId="Footer">
    <w:name w:val="footer"/>
    <w:basedOn w:val="Normal"/>
    <w:link w:val="FooterChar"/>
    <w:uiPriority w:val="99"/>
    <w:unhideWhenUsed/>
    <w:rsid w:val="0074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2018-10-03T18:00:00Z</dcterms:created>
  <dcterms:modified xsi:type="dcterms:W3CDTF">2018-10-03T19:05:00Z</dcterms:modified>
</cp:coreProperties>
</file>