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FB8D3" w14:textId="77777777" w:rsidR="00730F33" w:rsidRDefault="00730F33" w:rsidP="00730F33">
      <w:pPr>
        <w:pStyle w:val="Header"/>
        <w:jc w:val="center"/>
        <w:rPr>
          <w:rFonts w:ascii="Calibri" w:hAnsi="Calibri"/>
        </w:rPr>
      </w:pPr>
    </w:p>
    <w:p w14:paraId="6BE23285" w14:textId="77777777" w:rsidR="00730F33" w:rsidRDefault="00730F33" w:rsidP="00730F33">
      <w:pPr>
        <w:pStyle w:val="Header"/>
        <w:jc w:val="center"/>
        <w:rPr>
          <w:rFonts w:ascii="Calibri" w:hAnsi="Calibri"/>
        </w:rPr>
      </w:pPr>
      <w:r>
        <w:rPr>
          <w:rFonts w:ascii="Calibri" w:hAnsi="Calibri"/>
        </w:rPr>
        <w:t>Bollington St. John’s Church of England</w:t>
      </w:r>
    </w:p>
    <w:p w14:paraId="5FB8F72D" w14:textId="77777777" w:rsidR="00730F33" w:rsidRDefault="00730F33" w:rsidP="00730F33">
      <w:pPr>
        <w:pStyle w:val="Header"/>
        <w:jc w:val="center"/>
        <w:rPr>
          <w:rFonts w:ascii="Calibri" w:hAnsi="Calibri"/>
        </w:rPr>
      </w:pPr>
      <w:r>
        <w:rPr>
          <w:rFonts w:ascii="Calibri" w:hAnsi="Calibri"/>
        </w:rPr>
        <w:t>Primary School</w:t>
      </w:r>
    </w:p>
    <w:p w14:paraId="55EF51B0" w14:textId="6C400566" w:rsidR="00730F33" w:rsidRDefault="00730F33" w:rsidP="00730F33">
      <w:pPr>
        <w:pStyle w:val="Header"/>
        <w:ind w:left="113"/>
        <w:jc w:val="center"/>
        <w:rPr>
          <w:rFonts w:ascii="Calibri" w:hAnsi="Calibri"/>
        </w:rPr>
      </w:pPr>
      <w:r>
        <w:rPr>
          <w:rFonts w:ascii="Calibri" w:hAnsi="Calibri" w:cs="Arial"/>
          <w:noProof/>
          <w:lang w:eastAsia="en-GB"/>
        </w:rPr>
        <w:drawing>
          <wp:inline distT="0" distB="0" distL="0" distR="0" wp14:anchorId="3D3E1385" wp14:editId="1742799C">
            <wp:extent cx="1504950" cy="1609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4950" cy="1609725"/>
                    </a:xfrm>
                    <a:prstGeom prst="rect">
                      <a:avLst/>
                    </a:prstGeom>
                    <a:noFill/>
                    <a:ln>
                      <a:noFill/>
                    </a:ln>
                  </pic:spPr>
                </pic:pic>
              </a:graphicData>
            </a:graphic>
          </wp:inline>
        </w:drawing>
      </w:r>
    </w:p>
    <w:p w14:paraId="591DACB2" w14:textId="77777777" w:rsidR="00730F33" w:rsidRDefault="00730F33" w:rsidP="00730F33">
      <w:pPr>
        <w:pStyle w:val="Header"/>
        <w:jc w:val="center"/>
        <w:rPr>
          <w:rFonts w:ascii="Calibri" w:hAnsi="Calibri"/>
          <w:i/>
        </w:rPr>
      </w:pPr>
      <w:r>
        <w:rPr>
          <w:rFonts w:ascii="Calibri" w:hAnsi="Calibri"/>
          <w:i/>
        </w:rPr>
        <w:t>Where talent grows</w:t>
      </w:r>
    </w:p>
    <w:p w14:paraId="627707BF" w14:textId="77777777" w:rsidR="00730F33" w:rsidRDefault="00730F33" w:rsidP="00730F33">
      <w:pPr>
        <w:pStyle w:val="Header"/>
        <w:jc w:val="center"/>
        <w:rPr>
          <w:rFonts w:ascii="Calibri" w:hAnsi="Calibri"/>
          <w:sz w:val="16"/>
          <w:szCs w:val="16"/>
        </w:rPr>
      </w:pPr>
      <w:r>
        <w:rPr>
          <w:rFonts w:ascii="Calibri" w:hAnsi="Calibri"/>
          <w:sz w:val="16"/>
          <w:szCs w:val="16"/>
        </w:rPr>
        <w:t>Head Teacher: Mrs M. Walker</w:t>
      </w:r>
    </w:p>
    <w:p w14:paraId="0B71177C" w14:textId="77777777" w:rsidR="00730F33" w:rsidRDefault="00730F33" w:rsidP="00730F33">
      <w:pPr>
        <w:pStyle w:val="Header"/>
        <w:jc w:val="center"/>
        <w:rPr>
          <w:rFonts w:ascii="Calibri" w:hAnsi="Calibri"/>
          <w:sz w:val="16"/>
          <w:szCs w:val="16"/>
        </w:rPr>
      </w:pPr>
      <w:r>
        <w:rPr>
          <w:rFonts w:ascii="Calibri" w:hAnsi="Calibri"/>
          <w:sz w:val="16"/>
          <w:szCs w:val="16"/>
        </w:rPr>
        <w:t>Head of Teaching, Learning and Assessment: Mrs E. Watson</w:t>
      </w:r>
    </w:p>
    <w:p w14:paraId="0C9EB582" w14:textId="77777777" w:rsidR="00730F33" w:rsidRDefault="00730F33" w:rsidP="00730F33">
      <w:pPr>
        <w:spacing w:before="100" w:beforeAutospacing="1" w:after="100" w:afterAutospacing="1"/>
        <w:jc w:val="center"/>
        <w:rPr>
          <w:rFonts w:ascii="Calibri" w:hAnsi="Calibri" w:cs="Arial"/>
          <w:b/>
          <w:bCs/>
          <w:i/>
          <w:iCs/>
          <w:sz w:val="24"/>
          <w:szCs w:val="24"/>
          <w:lang w:val="en"/>
        </w:rPr>
      </w:pPr>
      <w:r>
        <w:rPr>
          <w:rFonts w:ascii="Calibri" w:hAnsi="Calibri" w:cs="Arial"/>
          <w:i/>
          <w:iCs/>
          <w:lang w:val="en"/>
        </w:rPr>
        <w:t xml:space="preserve"> “Whatever you do, work at it with all your heart, as working for the Lord”</w:t>
      </w:r>
      <w:r>
        <w:rPr>
          <w:rFonts w:ascii="Calibri" w:hAnsi="Calibri" w:cs="Arial"/>
          <w:b/>
          <w:bCs/>
          <w:i/>
          <w:iCs/>
          <w:lang w:val="en"/>
        </w:rPr>
        <w:t> </w:t>
      </w:r>
    </w:p>
    <w:p w14:paraId="4BBBE769" w14:textId="77777777" w:rsidR="00F749D9" w:rsidRDefault="00F749D9" w:rsidP="00F749D9">
      <w:pPr>
        <w:spacing w:before="100" w:beforeAutospacing="1" w:after="100" w:afterAutospacing="1"/>
        <w:jc w:val="center"/>
        <w:rPr>
          <w:rFonts w:ascii="Calibri" w:hAnsi="Calibri" w:cs="Arial"/>
          <w:b/>
          <w:bCs/>
          <w:i/>
          <w:iCs/>
          <w:lang w:val="en"/>
        </w:rPr>
      </w:pPr>
      <w:r>
        <w:rPr>
          <w:rFonts w:ascii="Calibri" w:hAnsi="Calibri" w:cs="Arial"/>
          <w:b/>
          <w:bCs/>
          <w:i/>
          <w:iCs/>
          <w:lang w:val="en"/>
        </w:rPr>
        <w:t>Colossians 3:23</w:t>
      </w:r>
    </w:p>
    <w:p w14:paraId="1823EBC4" w14:textId="02A991FF" w:rsidR="00F749D9" w:rsidRPr="00E15816" w:rsidRDefault="004B00CC" w:rsidP="00E15816">
      <w:pPr>
        <w:jc w:val="center"/>
        <w:rPr>
          <w:rFonts w:asciiTheme="majorHAnsi" w:hAnsiTheme="majorHAnsi" w:cstheme="majorHAnsi"/>
          <w:b/>
          <w:bCs/>
          <w:i/>
          <w:iCs/>
          <w:sz w:val="36"/>
          <w:szCs w:val="36"/>
          <w:lang w:val="en"/>
        </w:rPr>
      </w:pPr>
      <w:r w:rsidRPr="00E15816">
        <w:rPr>
          <w:rFonts w:asciiTheme="majorHAnsi" w:hAnsiTheme="majorHAnsi" w:cstheme="majorHAnsi"/>
          <w:b/>
          <w:bCs/>
          <w:sz w:val="36"/>
          <w:szCs w:val="36"/>
        </w:rPr>
        <w:t>Allergy Policy</w:t>
      </w:r>
    </w:p>
    <w:p w14:paraId="1FE76711"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1</w:t>
      </w:r>
      <w:r w:rsidRPr="00E15816">
        <w:rPr>
          <w:rFonts w:asciiTheme="majorHAnsi" w:hAnsiTheme="majorHAnsi" w:cstheme="majorHAnsi"/>
          <w:b/>
          <w:bCs/>
          <w:sz w:val="24"/>
          <w:szCs w:val="24"/>
        </w:rPr>
        <w:t>. Purpose</w:t>
      </w:r>
    </w:p>
    <w:p w14:paraId="1FE76712" w14:textId="5B98D503" w:rsidR="00386F6E" w:rsidRDefault="00D677D1" w:rsidP="00A843F1">
      <w:pPr>
        <w:rPr>
          <w:rFonts w:asciiTheme="majorHAnsi" w:hAnsiTheme="majorHAnsi" w:cstheme="majorHAnsi"/>
          <w:sz w:val="24"/>
          <w:szCs w:val="24"/>
        </w:rPr>
      </w:pPr>
      <w:r w:rsidRPr="00A843F1">
        <w:rPr>
          <w:rFonts w:asciiTheme="majorHAnsi" w:hAnsiTheme="majorHAnsi" w:cstheme="majorHAnsi"/>
          <w:sz w:val="24"/>
          <w:szCs w:val="24"/>
        </w:rPr>
        <w:t>Bollington St John’s CE Primary School</w:t>
      </w:r>
      <w:r w:rsidR="004B00CC" w:rsidRPr="00A843F1">
        <w:rPr>
          <w:rFonts w:asciiTheme="majorHAnsi" w:hAnsiTheme="majorHAnsi" w:cstheme="majorHAnsi"/>
          <w:sz w:val="24"/>
          <w:szCs w:val="24"/>
        </w:rPr>
        <w:t xml:space="preserve"> is committed to providing a safe and supportive environment for all pupils. We recognise that allergies, including severe allergic reactions (anaphylaxis), can pose significant health risks. This policy outlines the school’s approach to allergy management, prevention, and emergency response.</w:t>
      </w:r>
    </w:p>
    <w:p w14:paraId="377B6BCC" w14:textId="77777777" w:rsidR="0095691F" w:rsidRPr="00A843F1" w:rsidRDefault="0095691F" w:rsidP="00A843F1">
      <w:pPr>
        <w:rPr>
          <w:rFonts w:asciiTheme="majorHAnsi" w:hAnsiTheme="majorHAnsi" w:cstheme="majorHAnsi"/>
          <w:sz w:val="24"/>
          <w:szCs w:val="24"/>
        </w:rPr>
      </w:pPr>
    </w:p>
    <w:p w14:paraId="1FE76713"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2</w:t>
      </w:r>
      <w:r w:rsidRPr="00E15816">
        <w:rPr>
          <w:rFonts w:asciiTheme="majorHAnsi" w:hAnsiTheme="majorHAnsi" w:cstheme="majorHAnsi"/>
          <w:b/>
          <w:bCs/>
          <w:sz w:val="24"/>
          <w:szCs w:val="24"/>
        </w:rPr>
        <w:t>. Scope</w:t>
      </w:r>
    </w:p>
    <w:p w14:paraId="1FE76714"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This policy applies to:</w:t>
      </w:r>
    </w:p>
    <w:p w14:paraId="1FE76715" w14:textId="02619D0C"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All pupils, staff, and visitors within the school community</w:t>
      </w:r>
    </w:p>
    <w:p w14:paraId="1FE76716" w14:textId="75D29352" w:rsidR="00386F6E"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All school activities, including on-site learning, trips, after-school clubs, and events</w:t>
      </w:r>
    </w:p>
    <w:p w14:paraId="6ACE2B57" w14:textId="77777777" w:rsidR="0095691F" w:rsidRPr="00A843F1" w:rsidRDefault="0095691F" w:rsidP="00A843F1">
      <w:pPr>
        <w:rPr>
          <w:rFonts w:asciiTheme="majorHAnsi" w:hAnsiTheme="majorHAnsi" w:cstheme="majorHAnsi"/>
          <w:sz w:val="24"/>
          <w:szCs w:val="24"/>
        </w:rPr>
      </w:pPr>
    </w:p>
    <w:p w14:paraId="1FE76717"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xml:space="preserve">3. </w:t>
      </w:r>
      <w:r w:rsidRPr="00E15816">
        <w:rPr>
          <w:rFonts w:asciiTheme="majorHAnsi" w:hAnsiTheme="majorHAnsi" w:cstheme="majorHAnsi"/>
          <w:b/>
          <w:bCs/>
          <w:sz w:val="24"/>
          <w:szCs w:val="24"/>
        </w:rPr>
        <w:t>Roles and Responsibilities</w:t>
      </w:r>
    </w:p>
    <w:p w14:paraId="1FE76718" w14:textId="77777777" w:rsidR="00386F6E" w:rsidRPr="00A843F1" w:rsidRDefault="004B00CC" w:rsidP="00A843F1">
      <w:pPr>
        <w:rPr>
          <w:rFonts w:asciiTheme="majorHAnsi" w:hAnsiTheme="majorHAnsi" w:cstheme="majorHAnsi"/>
          <w:sz w:val="24"/>
          <w:szCs w:val="24"/>
          <w:u w:val="single"/>
        </w:rPr>
      </w:pPr>
      <w:r w:rsidRPr="00A843F1">
        <w:rPr>
          <w:rFonts w:asciiTheme="majorHAnsi" w:hAnsiTheme="majorHAnsi" w:cstheme="majorHAnsi"/>
          <w:sz w:val="24"/>
          <w:szCs w:val="24"/>
          <w:u w:val="single"/>
        </w:rPr>
        <w:t>School</w:t>
      </w:r>
    </w:p>
    <w:p w14:paraId="1FE76719"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Maintain an up-to-date register of pupils with known allergies.</w:t>
      </w:r>
    </w:p>
    <w:p w14:paraId="1FE7671A"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lastRenderedPageBreak/>
        <w:t>- Provide staff with training on allergy awareness, recognising allergic reactions, and emergency response (including the use of adrenaline auto-injectors).</w:t>
      </w:r>
    </w:p>
    <w:p w14:paraId="1FE7671B"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Ensure that allergy information is shared appropriately with relevant staff, including teachers, lunchtime supervisors, and first aiders.</w:t>
      </w:r>
    </w:p>
    <w:p w14:paraId="1FE7671C"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Implement strategies to reduce the risk of exposure to allergens in the classroom, dining hall, and during school events.</w:t>
      </w:r>
    </w:p>
    <w:p w14:paraId="1FE7671D"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Display emergency procedures and keep emergency medication accessible.</w:t>
      </w:r>
    </w:p>
    <w:p w14:paraId="1FE7671E" w14:textId="77777777" w:rsidR="00386F6E" w:rsidRPr="00A843F1" w:rsidRDefault="00386F6E" w:rsidP="00A843F1">
      <w:pPr>
        <w:rPr>
          <w:rFonts w:asciiTheme="majorHAnsi" w:hAnsiTheme="majorHAnsi" w:cstheme="majorHAnsi"/>
          <w:sz w:val="24"/>
          <w:szCs w:val="24"/>
        </w:rPr>
      </w:pPr>
    </w:p>
    <w:p w14:paraId="1FE7671F" w14:textId="77777777" w:rsidR="00386F6E" w:rsidRPr="00A843F1" w:rsidRDefault="004B00CC" w:rsidP="00A843F1">
      <w:pPr>
        <w:rPr>
          <w:rFonts w:asciiTheme="majorHAnsi" w:hAnsiTheme="majorHAnsi" w:cstheme="majorHAnsi"/>
          <w:sz w:val="24"/>
          <w:szCs w:val="24"/>
          <w:u w:val="single"/>
        </w:rPr>
      </w:pPr>
      <w:r w:rsidRPr="00A843F1">
        <w:rPr>
          <w:rFonts w:asciiTheme="majorHAnsi" w:hAnsiTheme="majorHAnsi" w:cstheme="majorHAnsi"/>
          <w:sz w:val="24"/>
          <w:szCs w:val="24"/>
          <w:u w:val="single"/>
        </w:rPr>
        <w:t>Parents/Carers</w:t>
      </w:r>
    </w:p>
    <w:p w14:paraId="1FE76720"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Inform the school of their child’s allergies and provide medical documentation.</w:t>
      </w:r>
    </w:p>
    <w:p w14:paraId="1FE76721"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Supply clearly labelled in-date medication (e.g., adrenaline auto-injectors, antihistamines) and replace them as necessary.</w:t>
      </w:r>
    </w:p>
    <w:p w14:paraId="1FE76722"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Update the school with any changes to their child’s allergy management plan.</w:t>
      </w:r>
    </w:p>
    <w:p w14:paraId="1FE76723"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Work with staff to educate their child about safe practices (e.g., not sharing food).</w:t>
      </w:r>
    </w:p>
    <w:p w14:paraId="1FE76724" w14:textId="77777777" w:rsidR="00386F6E" w:rsidRPr="00A843F1" w:rsidRDefault="00386F6E" w:rsidP="00A843F1">
      <w:pPr>
        <w:rPr>
          <w:rFonts w:asciiTheme="majorHAnsi" w:hAnsiTheme="majorHAnsi" w:cstheme="majorHAnsi"/>
          <w:sz w:val="24"/>
          <w:szCs w:val="24"/>
        </w:rPr>
      </w:pPr>
    </w:p>
    <w:p w14:paraId="1FE76725" w14:textId="77777777" w:rsidR="00386F6E" w:rsidRPr="00A843F1" w:rsidRDefault="004B00CC" w:rsidP="00A843F1">
      <w:pPr>
        <w:rPr>
          <w:rFonts w:asciiTheme="majorHAnsi" w:hAnsiTheme="majorHAnsi" w:cstheme="majorHAnsi"/>
          <w:sz w:val="24"/>
          <w:szCs w:val="24"/>
          <w:u w:val="single"/>
        </w:rPr>
      </w:pPr>
      <w:r w:rsidRPr="00A843F1">
        <w:rPr>
          <w:rFonts w:asciiTheme="majorHAnsi" w:hAnsiTheme="majorHAnsi" w:cstheme="majorHAnsi"/>
          <w:sz w:val="24"/>
          <w:szCs w:val="24"/>
          <w:u w:val="single"/>
        </w:rPr>
        <w:t>Pupils (as appropriate for age)</w:t>
      </w:r>
    </w:p>
    <w:p w14:paraId="1FE76726" w14:textId="77777777" w:rsidR="00386F6E"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Be encouraged to take age-appropriate responsibility for managing their allergies, such as avoiding allergens and informing an adult if they feel unwell.</w:t>
      </w:r>
    </w:p>
    <w:p w14:paraId="249A786C" w14:textId="77777777" w:rsidR="00C368B0" w:rsidRPr="00A843F1" w:rsidRDefault="00C368B0" w:rsidP="00A843F1">
      <w:pPr>
        <w:rPr>
          <w:rFonts w:asciiTheme="majorHAnsi" w:hAnsiTheme="majorHAnsi" w:cstheme="majorHAnsi"/>
          <w:sz w:val="24"/>
          <w:szCs w:val="24"/>
        </w:rPr>
      </w:pPr>
    </w:p>
    <w:p w14:paraId="1FE76727"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xml:space="preserve">4. </w:t>
      </w:r>
      <w:r w:rsidRPr="0095691F">
        <w:rPr>
          <w:rFonts w:asciiTheme="majorHAnsi" w:hAnsiTheme="majorHAnsi" w:cstheme="majorHAnsi"/>
          <w:b/>
          <w:bCs/>
          <w:sz w:val="24"/>
          <w:szCs w:val="24"/>
        </w:rPr>
        <w:t>Minimising Risks</w:t>
      </w:r>
    </w:p>
    <w:p w14:paraId="1FE76728"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Food Allergies</w:t>
      </w:r>
    </w:p>
    <w:p w14:paraId="1FE76729"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The school promotes a no food sharing policy.</w:t>
      </w:r>
    </w:p>
    <w:p w14:paraId="1FE7672A"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Parents are asked not to send foods containing common allergens (e.g., nuts, peanuts) where possible.</w:t>
      </w:r>
    </w:p>
    <w:p w14:paraId="1FE7672B"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The school kitchen and catering staff will be trained and provided with allergy information for pupils.</w:t>
      </w:r>
    </w:p>
    <w:p w14:paraId="1FE7672C" w14:textId="77777777" w:rsidR="00386F6E" w:rsidRPr="00A843F1" w:rsidRDefault="00386F6E" w:rsidP="00A843F1">
      <w:pPr>
        <w:rPr>
          <w:rFonts w:asciiTheme="majorHAnsi" w:hAnsiTheme="majorHAnsi" w:cstheme="majorHAnsi"/>
          <w:sz w:val="24"/>
          <w:szCs w:val="24"/>
        </w:rPr>
      </w:pPr>
    </w:p>
    <w:p w14:paraId="1FE7672D"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lastRenderedPageBreak/>
        <w:t>Classroom Environment</w:t>
      </w:r>
    </w:p>
    <w:p w14:paraId="1FE7672E"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Staff will check ingredients for activities involving food, art supplies, or science experiments.</w:t>
      </w:r>
    </w:p>
    <w:p w14:paraId="1FE7672F"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Pupils with allergies will be provided with safe alternatives.</w:t>
      </w:r>
    </w:p>
    <w:p w14:paraId="1FE76730" w14:textId="77777777" w:rsidR="00386F6E" w:rsidRPr="00A843F1" w:rsidRDefault="00386F6E" w:rsidP="00A843F1">
      <w:pPr>
        <w:rPr>
          <w:rFonts w:asciiTheme="majorHAnsi" w:hAnsiTheme="majorHAnsi" w:cstheme="majorHAnsi"/>
          <w:sz w:val="24"/>
          <w:szCs w:val="24"/>
        </w:rPr>
      </w:pPr>
    </w:p>
    <w:p w14:paraId="1FE76731"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School Events and Trips</w:t>
      </w:r>
    </w:p>
    <w:p w14:paraId="1FE76732"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Risk assessments will be carried out to identify and manage allergy risks.</w:t>
      </w:r>
    </w:p>
    <w:p w14:paraId="1FE76733" w14:textId="77777777" w:rsidR="00386F6E"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Emergency medication will accompany pupils on all trips.</w:t>
      </w:r>
    </w:p>
    <w:p w14:paraId="0F151E27" w14:textId="77777777" w:rsidR="00C368B0" w:rsidRPr="00A843F1" w:rsidRDefault="00C368B0" w:rsidP="00A843F1">
      <w:pPr>
        <w:rPr>
          <w:rFonts w:asciiTheme="majorHAnsi" w:hAnsiTheme="majorHAnsi" w:cstheme="majorHAnsi"/>
          <w:sz w:val="24"/>
          <w:szCs w:val="24"/>
        </w:rPr>
      </w:pPr>
    </w:p>
    <w:p w14:paraId="1FE76734"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xml:space="preserve">5. </w:t>
      </w:r>
      <w:r w:rsidRPr="0095691F">
        <w:rPr>
          <w:rFonts w:asciiTheme="majorHAnsi" w:hAnsiTheme="majorHAnsi" w:cstheme="majorHAnsi"/>
          <w:b/>
          <w:bCs/>
          <w:sz w:val="24"/>
          <w:szCs w:val="24"/>
        </w:rPr>
        <w:t>Emergency Procedures</w:t>
      </w:r>
    </w:p>
    <w:p w14:paraId="1FE76735"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If a pupil shows signs of an allergic reaction, staff will:</w:t>
      </w:r>
    </w:p>
    <w:p w14:paraId="1FE76736"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1. Follow the pupil’s individual healthcare plan.</w:t>
      </w:r>
    </w:p>
    <w:p w14:paraId="1FE76737"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2. Administer emergency medication (e.g., adrenaline auto-injector) without delay.</w:t>
      </w:r>
    </w:p>
    <w:p w14:paraId="1FE76738"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3. Call emergency services (999).</w:t>
      </w:r>
    </w:p>
    <w:p w14:paraId="1FE76739"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4. Inform parents/carers immediately.</w:t>
      </w:r>
    </w:p>
    <w:p w14:paraId="1FE7673A" w14:textId="77777777" w:rsidR="00386F6E"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All incidents will be recorded and reviewed to improve future practice.</w:t>
      </w:r>
    </w:p>
    <w:p w14:paraId="04160368" w14:textId="77777777" w:rsidR="00C368B0" w:rsidRPr="00A843F1" w:rsidRDefault="00C368B0" w:rsidP="00A843F1">
      <w:pPr>
        <w:rPr>
          <w:rFonts w:asciiTheme="majorHAnsi" w:hAnsiTheme="majorHAnsi" w:cstheme="majorHAnsi"/>
          <w:sz w:val="24"/>
          <w:szCs w:val="24"/>
        </w:rPr>
      </w:pPr>
    </w:p>
    <w:p w14:paraId="1FE7673B"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xml:space="preserve">6. </w:t>
      </w:r>
      <w:r w:rsidRPr="0095691F">
        <w:rPr>
          <w:rFonts w:asciiTheme="majorHAnsi" w:hAnsiTheme="majorHAnsi" w:cstheme="majorHAnsi"/>
          <w:b/>
          <w:bCs/>
          <w:sz w:val="24"/>
          <w:szCs w:val="24"/>
        </w:rPr>
        <w:t>Training</w:t>
      </w:r>
    </w:p>
    <w:p w14:paraId="1FE7673C"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Designated staff will receive annual training in allergy awareness and the use of adrenaline auto-injectors.</w:t>
      </w:r>
    </w:p>
    <w:p w14:paraId="1FE7673D" w14:textId="77777777" w:rsidR="00386F6E"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Whole-school awareness sessions will be provided regularly to promote a culture of inclusion and safety.</w:t>
      </w:r>
    </w:p>
    <w:p w14:paraId="5BD4BD13" w14:textId="77777777" w:rsidR="00C368B0" w:rsidRPr="00A843F1" w:rsidRDefault="00C368B0" w:rsidP="00A843F1">
      <w:pPr>
        <w:rPr>
          <w:rFonts w:asciiTheme="majorHAnsi" w:hAnsiTheme="majorHAnsi" w:cstheme="majorHAnsi"/>
          <w:sz w:val="24"/>
          <w:szCs w:val="24"/>
        </w:rPr>
      </w:pPr>
    </w:p>
    <w:p w14:paraId="1FE7673E"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xml:space="preserve">7. </w:t>
      </w:r>
      <w:r w:rsidRPr="0095691F">
        <w:rPr>
          <w:rFonts w:asciiTheme="majorHAnsi" w:hAnsiTheme="majorHAnsi" w:cstheme="majorHAnsi"/>
          <w:b/>
          <w:bCs/>
          <w:sz w:val="24"/>
          <w:szCs w:val="24"/>
        </w:rPr>
        <w:t>Monitoring and Review</w:t>
      </w:r>
    </w:p>
    <w:p w14:paraId="1FE76741" w14:textId="3FF727DF"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This policy will be reviewed annually, or sooner if required.</w:t>
      </w:r>
      <w:r w:rsidR="00C368B0">
        <w:rPr>
          <w:rFonts w:asciiTheme="majorHAnsi" w:hAnsiTheme="majorHAnsi" w:cstheme="majorHAnsi"/>
          <w:sz w:val="24"/>
          <w:szCs w:val="24"/>
        </w:rPr>
        <w:t xml:space="preserve"> </w:t>
      </w:r>
      <w:r w:rsidRPr="00A843F1">
        <w:rPr>
          <w:rFonts w:asciiTheme="majorHAnsi" w:hAnsiTheme="majorHAnsi" w:cstheme="majorHAnsi"/>
          <w:sz w:val="24"/>
          <w:szCs w:val="24"/>
        </w:rPr>
        <w:t>Feedback from staff, parents, and pupils will inform updates.</w:t>
      </w:r>
      <w:r w:rsidRPr="00A843F1">
        <w:rPr>
          <w:rFonts w:asciiTheme="majorHAnsi" w:hAnsiTheme="majorHAnsi" w:cstheme="majorHAnsi"/>
          <w:sz w:val="24"/>
          <w:szCs w:val="24"/>
        </w:rPr>
        <w:br w:type="page"/>
      </w:r>
    </w:p>
    <w:tbl>
      <w:tblPr>
        <w:tblW w:w="0" w:type="auto"/>
        <w:tblCellMar>
          <w:top w:w="15" w:type="dxa"/>
          <w:left w:w="15" w:type="dxa"/>
          <w:bottom w:w="15" w:type="dxa"/>
          <w:right w:w="15" w:type="dxa"/>
        </w:tblCellMar>
        <w:tblLook w:val="04A0" w:firstRow="1" w:lastRow="0" w:firstColumn="1" w:lastColumn="0" w:noHBand="0" w:noVBand="1"/>
      </w:tblPr>
      <w:tblGrid>
        <w:gridCol w:w="7745"/>
      </w:tblGrid>
      <w:tr w:rsidR="005B4B98" w:rsidRPr="00A843F1" w14:paraId="6E506F07" w14:textId="77777777" w:rsidTr="00236A53">
        <w:tc>
          <w:tcPr>
            <w:tcW w:w="0" w:type="auto"/>
            <w:tcMar>
              <w:top w:w="150" w:type="dxa"/>
              <w:left w:w="300" w:type="dxa"/>
              <w:bottom w:w="150" w:type="dxa"/>
              <w:right w:w="300" w:type="dxa"/>
            </w:tcMar>
            <w:vAlign w:val="center"/>
            <w:hideMark/>
          </w:tcPr>
          <w:p w14:paraId="4F82F727" w14:textId="77777777" w:rsidR="005B4B98" w:rsidRPr="00A843F1" w:rsidRDefault="005B4B98" w:rsidP="00A843F1">
            <w:pPr>
              <w:rPr>
                <w:rFonts w:asciiTheme="majorHAnsi" w:eastAsia="Times New Roman" w:hAnsiTheme="majorHAnsi" w:cstheme="majorHAnsi"/>
                <w:sz w:val="24"/>
                <w:szCs w:val="24"/>
                <w:u w:val="single"/>
                <w:lang w:val="en-GB" w:eastAsia="en-GB"/>
              </w:rPr>
            </w:pPr>
            <w:r w:rsidRPr="00A843F1">
              <w:rPr>
                <w:rFonts w:asciiTheme="majorHAnsi" w:eastAsia="Times New Roman" w:hAnsiTheme="majorHAnsi" w:cstheme="majorHAnsi"/>
                <w:sz w:val="24"/>
                <w:szCs w:val="24"/>
                <w:u w:val="single"/>
                <w:bdr w:val="none" w:sz="0" w:space="0" w:color="auto" w:frame="1"/>
                <w:shd w:val="clear" w:color="auto" w:fill="FFFFFF"/>
                <w:lang w:val="en-GB" w:eastAsia="en-GB"/>
              </w:rPr>
              <w:lastRenderedPageBreak/>
              <w:t>Here are 5 practical steps you can take now to become more allergy safe:</w:t>
            </w:r>
          </w:p>
        </w:tc>
      </w:tr>
    </w:tbl>
    <w:p w14:paraId="535FC891" w14:textId="34EBCF00" w:rsidR="005B4B98" w:rsidRPr="00A843F1" w:rsidRDefault="005B4B98" w:rsidP="00A843F1">
      <w:pPr>
        <w:pStyle w:val="ListParagraph"/>
        <w:numPr>
          <w:ilvl w:val="0"/>
          <w:numId w:val="11"/>
        </w:numPr>
        <w:rPr>
          <w:rFonts w:asciiTheme="majorHAnsi" w:eastAsia="Times New Roman" w:hAnsiTheme="majorHAnsi" w:cstheme="majorHAnsi"/>
          <w:sz w:val="24"/>
          <w:szCs w:val="24"/>
          <w:lang w:val="en-GB" w:eastAsia="en-GB"/>
        </w:rPr>
      </w:pPr>
      <w:r w:rsidRPr="00A843F1">
        <w:rPr>
          <w:rFonts w:asciiTheme="majorHAnsi" w:eastAsia="Times New Roman" w:hAnsiTheme="majorHAnsi" w:cstheme="majorHAnsi"/>
          <w:sz w:val="24"/>
          <w:szCs w:val="24"/>
          <w:bdr w:val="none" w:sz="0" w:space="0" w:color="auto" w:frame="1"/>
          <w:shd w:val="clear" w:color="auto" w:fill="FFFFFF"/>
          <w:lang w:val="en-GB" w:eastAsia="en-GB"/>
        </w:rPr>
        <w:t>Appoint a Designated Allergy Lead: Having a named person to oversee your allergy policies and procedures across departments creates consistency in your school. Like having a Safeguarding Lead or Educational Visits Co-ordinator, it brings clarity to the whole process.</w:t>
      </w:r>
      <w:r w:rsidRPr="00A843F1">
        <w:rPr>
          <w:rFonts w:asciiTheme="majorHAnsi" w:eastAsia="Times New Roman" w:hAnsiTheme="majorHAnsi" w:cstheme="majorHAnsi"/>
          <w:sz w:val="24"/>
          <w:szCs w:val="24"/>
          <w:bdr w:val="none" w:sz="0" w:space="0" w:color="auto" w:frame="1"/>
          <w:shd w:val="clear" w:color="auto" w:fill="FFFFFF"/>
          <w:lang w:val="en-GB" w:eastAsia="en-GB"/>
        </w:rPr>
        <w:br/>
      </w:r>
    </w:p>
    <w:p w14:paraId="1C9E41FD" w14:textId="78E231E6" w:rsidR="005B4B98" w:rsidRPr="00A843F1" w:rsidRDefault="005B4B98" w:rsidP="00A843F1">
      <w:pPr>
        <w:pStyle w:val="ListParagraph"/>
        <w:numPr>
          <w:ilvl w:val="0"/>
          <w:numId w:val="11"/>
        </w:numPr>
        <w:rPr>
          <w:rFonts w:asciiTheme="majorHAnsi" w:eastAsia="Times New Roman" w:hAnsiTheme="majorHAnsi" w:cstheme="majorHAnsi"/>
          <w:sz w:val="24"/>
          <w:szCs w:val="24"/>
          <w:lang w:val="en-GB" w:eastAsia="en-GB"/>
        </w:rPr>
      </w:pPr>
      <w:r w:rsidRPr="00A843F1">
        <w:rPr>
          <w:rFonts w:asciiTheme="majorHAnsi" w:eastAsia="Times New Roman" w:hAnsiTheme="majorHAnsi" w:cstheme="majorHAnsi"/>
          <w:sz w:val="24"/>
          <w:szCs w:val="24"/>
          <w:bdr w:val="none" w:sz="0" w:space="0" w:color="auto" w:frame="1"/>
          <w:shd w:val="clear" w:color="auto" w:fill="FFFFFF"/>
          <w:lang w:val="en-GB" w:eastAsia="en-GB"/>
        </w:rPr>
        <w:t>Create a whole-school Allergy &amp; Anaphylaxis Policy: Make it clear, easy to follow and relevant to your setting. When staff know what's in it, understand it and feel confident applying it, you create shared understanding and responsibility that really works.</w:t>
      </w:r>
      <w:r w:rsidRPr="00A843F1">
        <w:rPr>
          <w:rFonts w:asciiTheme="majorHAnsi" w:eastAsia="Times New Roman" w:hAnsiTheme="majorHAnsi" w:cstheme="majorHAnsi"/>
          <w:sz w:val="24"/>
          <w:szCs w:val="24"/>
          <w:bdr w:val="none" w:sz="0" w:space="0" w:color="auto" w:frame="1"/>
          <w:shd w:val="clear" w:color="auto" w:fill="FFFFFF"/>
          <w:lang w:val="en-GB" w:eastAsia="en-GB"/>
        </w:rPr>
        <w:br/>
      </w:r>
    </w:p>
    <w:p w14:paraId="4D4FB688" w14:textId="7D1865E5" w:rsidR="005B4B98" w:rsidRPr="00A843F1" w:rsidRDefault="005B4B98" w:rsidP="00A843F1">
      <w:pPr>
        <w:pStyle w:val="ListParagraph"/>
        <w:numPr>
          <w:ilvl w:val="0"/>
          <w:numId w:val="11"/>
        </w:numPr>
        <w:rPr>
          <w:rFonts w:asciiTheme="majorHAnsi" w:eastAsia="Times New Roman" w:hAnsiTheme="majorHAnsi" w:cstheme="majorHAnsi"/>
          <w:sz w:val="24"/>
          <w:szCs w:val="24"/>
          <w:lang w:val="en-GB" w:eastAsia="en-GB"/>
        </w:rPr>
      </w:pPr>
      <w:r w:rsidRPr="00A843F1">
        <w:rPr>
          <w:rFonts w:asciiTheme="majorHAnsi" w:eastAsia="Times New Roman" w:hAnsiTheme="majorHAnsi" w:cstheme="majorHAnsi"/>
          <w:sz w:val="24"/>
          <w:szCs w:val="24"/>
          <w:bdr w:val="none" w:sz="0" w:space="0" w:color="auto" w:frame="1"/>
          <w:shd w:val="clear" w:color="auto" w:fill="FFFFFF"/>
          <w:lang w:val="en-GB" w:eastAsia="en-GB"/>
        </w:rPr>
        <w:t>Train all your staff and run an anaphylaxis drill: Having a handful of staff trained to use an adrenaline pen isn’t enough. Everyone must understand allergy, how to reduce the risk of an allergic reaction happening and how to respond if one does - that includes cover staff, lunchtime supervisors, and club leaders. Training everyone well and testing their competency with an annual anaphylaxis drill can save lives. Currently, 58% of teachers don't feel confident or prepared to manage an allergic reaction but this doesn't have to be the case in your school.</w:t>
      </w:r>
      <w:r w:rsidRPr="00A843F1">
        <w:rPr>
          <w:rFonts w:asciiTheme="majorHAnsi" w:eastAsia="Times New Roman" w:hAnsiTheme="majorHAnsi" w:cstheme="majorHAnsi"/>
          <w:sz w:val="24"/>
          <w:szCs w:val="24"/>
          <w:bdr w:val="none" w:sz="0" w:space="0" w:color="auto" w:frame="1"/>
          <w:shd w:val="clear" w:color="auto" w:fill="FFFFFF"/>
          <w:lang w:val="en-GB" w:eastAsia="en-GB"/>
        </w:rPr>
        <w:br/>
      </w:r>
    </w:p>
    <w:p w14:paraId="37B8D329" w14:textId="31A6085D" w:rsidR="005B4B98" w:rsidRPr="00A843F1" w:rsidRDefault="005B4B98" w:rsidP="00A843F1">
      <w:pPr>
        <w:pStyle w:val="ListParagraph"/>
        <w:numPr>
          <w:ilvl w:val="0"/>
          <w:numId w:val="11"/>
        </w:numPr>
        <w:rPr>
          <w:rFonts w:asciiTheme="majorHAnsi" w:eastAsia="Times New Roman" w:hAnsiTheme="majorHAnsi" w:cstheme="majorHAnsi"/>
          <w:sz w:val="24"/>
          <w:szCs w:val="24"/>
          <w:lang w:val="en-GB" w:eastAsia="en-GB"/>
        </w:rPr>
      </w:pPr>
      <w:r w:rsidRPr="00A843F1">
        <w:rPr>
          <w:rFonts w:asciiTheme="majorHAnsi" w:eastAsia="Times New Roman" w:hAnsiTheme="majorHAnsi" w:cstheme="majorHAnsi"/>
          <w:sz w:val="24"/>
          <w:szCs w:val="24"/>
          <w:bdr w:val="none" w:sz="0" w:space="0" w:color="auto" w:frame="1"/>
          <w:shd w:val="clear" w:color="auto" w:fill="FFFFFF"/>
          <w:lang w:val="en-GB" w:eastAsia="en-GB"/>
        </w:rPr>
        <w:t>Know which pupils have allergies and what support they need: If a pupil has an allergy, they should have an Individual Healthcare Plan (incorporating an Allergy Action Plan if they have one). This should document key information and the support they need. There should be a robust method to ensure this information is shared with staff who care for the child, creating a safe and inclusive environment.</w:t>
      </w:r>
      <w:r w:rsidRPr="00A843F1">
        <w:rPr>
          <w:rFonts w:asciiTheme="majorHAnsi" w:eastAsia="Times New Roman" w:hAnsiTheme="majorHAnsi" w:cstheme="majorHAnsi"/>
          <w:sz w:val="24"/>
          <w:szCs w:val="24"/>
          <w:bdr w:val="none" w:sz="0" w:space="0" w:color="auto" w:frame="1"/>
          <w:shd w:val="clear" w:color="auto" w:fill="FFFFFF"/>
          <w:lang w:val="en-GB" w:eastAsia="en-GB"/>
        </w:rPr>
        <w:br/>
      </w:r>
    </w:p>
    <w:p w14:paraId="48899CD1" w14:textId="6DBF382C" w:rsidR="005B4B98" w:rsidRPr="00A843F1" w:rsidRDefault="005B4B98" w:rsidP="00A843F1">
      <w:pPr>
        <w:pStyle w:val="ListParagraph"/>
        <w:numPr>
          <w:ilvl w:val="0"/>
          <w:numId w:val="11"/>
        </w:numPr>
        <w:rPr>
          <w:rFonts w:asciiTheme="majorHAnsi" w:eastAsia="Times New Roman" w:hAnsiTheme="majorHAnsi" w:cstheme="majorHAnsi"/>
          <w:sz w:val="24"/>
          <w:szCs w:val="24"/>
          <w:lang w:val="en-GB" w:eastAsia="en-GB"/>
        </w:rPr>
      </w:pPr>
      <w:r w:rsidRPr="00A843F1">
        <w:rPr>
          <w:rFonts w:asciiTheme="majorHAnsi" w:eastAsia="Times New Roman" w:hAnsiTheme="majorHAnsi" w:cstheme="majorHAnsi"/>
          <w:sz w:val="24"/>
          <w:szCs w:val="24"/>
          <w:bdr w:val="none" w:sz="0" w:space="0" w:color="auto" w:frame="1"/>
          <w:shd w:val="clear" w:color="auto" w:fill="FFFFFF"/>
          <w:lang w:val="en-GB" w:eastAsia="en-GB"/>
        </w:rPr>
        <w:t>Ensure emergency medication is easy to access and that you have spare adrenaline pens: If a child is prescribed with adrenaline auto-injectors (AAIs), they should ALWAYS have access to two of their own devices in school, and on the journey to and from school. AAIs should never be locked away. It is also strongly recommended that you have spare adrenaline auto-injectors, they can save lives. Having spares means you have back up medication if a pupil's pen misfires or if their devices are not available. 20% of allergic reactions in schools happen to children without a history of allergy and spare pens can be used if this happens.</w:t>
      </w:r>
    </w:p>
    <w:p w14:paraId="6251DE5B" w14:textId="77777777" w:rsidR="005B4B98" w:rsidRPr="00A843F1" w:rsidRDefault="005B4B98" w:rsidP="00A843F1">
      <w:pPr>
        <w:rPr>
          <w:rFonts w:asciiTheme="majorHAnsi" w:eastAsia="Times New Roman" w:hAnsiTheme="majorHAnsi" w:cstheme="majorHAnsi"/>
          <w:sz w:val="24"/>
          <w:szCs w:val="24"/>
          <w:lang w:val="en-GB" w:eastAsia="en-GB"/>
        </w:rPr>
      </w:pPr>
    </w:p>
    <w:tbl>
      <w:tblPr>
        <w:tblW w:w="0" w:type="auto"/>
        <w:tblCellMar>
          <w:top w:w="15" w:type="dxa"/>
          <w:left w:w="15" w:type="dxa"/>
          <w:bottom w:w="15" w:type="dxa"/>
          <w:right w:w="15" w:type="dxa"/>
        </w:tblCellMar>
        <w:tblLook w:val="04A0" w:firstRow="1" w:lastRow="0" w:firstColumn="1" w:lastColumn="0" w:noHBand="0" w:noVBand="1"/>
      </w:tblPr>
      <w:tblGrid>
        <w:gridCol w:w="8640"/>
      </w:tblGrid>
      <w:tr w:rsidR="005B4B98" w:rsidRPr="00A843F1" w14:paraId="2BD31025" w14:textId="77777777" w:rsidTr="00236A53">
        <w:tc>
          <w:tcPr>
            <w:tcW w:w="0" w:type="auto"/>
            <w:tcMar>
              <w:top w:w="150" w:type="dxa"/>
              <w:left w:w="300" w:type="dxa"/>
              <w:bottom w:w="150" w:type="dxa"/>
              <w:right w:w="300" w:type="dxa"/>
            </w:tcMar>
            <w:vAlign w:val="center"/>
            <w:hideMark/>
          </w:tcPr>
          <w:p w14:paraId="79CC407E" w14:textId="221354C7" w:rsidR="005B4B98" w:rsidRPr="00A843F1" w:rsidRDefault="005B4B98" w:rsidP="00A843F1">
            <w:pPr>
              <w:rPr>
                <w:rFonts w:asciiTheme="majorHAnsi" w:eastAsia="Times New Roman" w:hAnsiTheme="majorHAnsi" w:cstheme="majorHAnsi"/>
                <w:sz w:val="24"/>
                <w:szCs w:val="24"/>
                <w:lang w:val="en-GB" w:eastAsia="en-GB"/>
              </w:rPr>
            </w:pPr>
            <w:r w:rsidRPr="00A843F1">
              <w:rPr>
                <w:rFonts w:asciiTheme="majorHAnsi" w:eastAsia="Times New Roman" w:hAnsiTheme="majorHAnsi" w:cstheme="majorHAnsi"/>
                <w:sz w:val="24"/>
                <w:szCs w:val="24"/>
                <w:bdr w:val="none" w:sz="0" w:space="0" w:color="auto" w:frame="1"/>
                <w:shd w:val="clear" w:color="auto" w:fill="FFFFFF"/>
                <w:lang w:val="en-GB" w:eastAsia="en-GB"/>
              </w:rPr>
              <w:lastRenderedPageBreak/>
              <w:t>This guidance is summarised in the DfE-backed Schools Allergy Code, a framework for best practice</w:t>
            </w:r>
            <w:r w:rsidR="00C368B0">
              <w:rPr>
                <w:rFonts w:asciiTheme="majorHAnsi" w:eastAsia="Times New Roman" w:hAnsiTheme="majorHAnsi" w:cstheme="majorHAnsi"/>
                <w:sz w:val="24"/>
                <w:szCs w:val="24"/>
                <w:bdr w:val="none" w:sz="0" w:space="0" w:color="auto" w:frame="1"/>
                <w:shd w:val="clear" w:color="auto" w:fill="FFFFFF"/>
                <w:lang w:val="en-GB" w:eastAsia="en-GB"/>
              </w:rPr>
              <w:t>.</w:t>
            </w:r>
          </w:p>
        </w:tc>
      </w:tr>
    </w:tbl>
    <w:p w14:paraId="4640A516" w14:textId="77777777" w:rsidR="005B4B98" w:rsidRPr="00A843F1" w:rsidRDefault="00C97634" w:rsidP="00A843F1">
      <w:pPr>
        <w:rPr>
          <w:rFonts w:asciiTheme="majorHAnsi" w:eastAsia="Times New Roman" w:hAnsiTheme="majorHAnsi" w:cstheme="majorHAnsi"/>
          <w:sz w:val="24"/>
          <w:szCs w:val="24"/>
          <w:lang w:val="en-GB" w:eastAsia="en-GB"/>
        </w:rPr>
      </w:pPr>
      <w:hyperlink r:id="rId7" w:tgtFrame="_blank" w:tooltip="https://www.gov.uk/government/publications/school-food-standards-resources-for-schools/allergy-guidance-for-schools?es_c=2A2201DFE31E9BCCD826C4B3240AFD31&amp;es_cl=FA54D4537DB607E143B8A3909603C060&amp;es_id=ph7%c2%a3o1" w:history="1">
        <w:r w:rsidR="005B4B98" w:rsidRPr="00A843F1">
          <w:rPr>
            <w:rFonts w:asciiTheme="majorHAnsi" w:eastAsia="Times New Roman" w:hAnsiTheme="majorHAnsi" w:cstheme="majorHAnsi"/>
            <w:sz w:val="24"/>
            <w:szCs w:val="24"/>
            <w:u w:val="single"/>
            <w:bdr w:val="none" w:sz="0" w:space="0" w:color="auto" w:frame="1"/>
            <w:lang w:val="en-GB" w:eastAsia="en-GB"/>
          </w:rPr>
          <w:t>https://www.gov.uk/government/publications/school-food-standards-resources-for-schools/allergy-guidance-for-schools?es_c=2A2201DFE31E9BCCD826C4B3240AFD31&amp;es_cl=FA54D4537DB607E143B8A3909603C060&amp;es_id=ph7%c2%a3o1</w:t>
        </w:r>
      </w:hyperlink>
    </w:p>
    <w:p w14:paraId="390A17CE" w14:textId="006B8FE8" w:rsidR="005B4B98" w:rsidRPr="00A843F1" w:rsidRDefault="005B4B98" w:rsidP="00A843F1">
      <w:pPr>
        <w:rPr>
          <w:rFonts w:asciiTheme="majorHAnsi" w:eastAsia="Times New Roman" w:hAnsiTheme="majorHAnsi" w:cstheme="majorHAnsi"/>
          <w:sz w:val="24"/>
          <w:szCs w:val="24"/>
          <w:lang w:val="en-GB" w:eastAsia="en-GB"/>
        </w:rPr>
      </w:pPr>
    </w:p>
    <w:tbl>
      <w:tblPr>
        <w:tblW w:w="636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540" w:type="dxa"/>
        </w:tblCellMar>
        <w:tblLook w:val="04A0" w:firstRow="1" w:lastRow="0" w:firstColumn="1" w:lastColumn="0" w:noHBand="0" w:noVBand="1"/>
      </w:tblPr>
      <w:tblGrid>
        <w:gridCol w:w="4380"/>
        <w:gridCol w:w="1999"/>
      </w:tblGrid>
      <w:tr w:rsidR="005B4B98" w:rsidRPr="00A843F1" w14:paraId="540B9563" w14:textId="77777777" w:rsidTr="00236A53">
        <w:trPr>
          <w:tblCellSpacing w:w="15" w:type="dxa"/>
        </w:trPr>
        <w:tc>
          <w:tcPr>
            <w:tcW w:w="0" w:type="auto"/>
            <w:hideMark/>
          </w:tcPr>
          <w:p w14:paraId="5340195E" w14:textId="77777777" w:rsidR="005B4B98" w:rsidRPr="00A843F1" w:rsidRDefault="005B4B98" w:rsidP="00A843F1">
            <w:pPr>
              <w:rPr>
                <w:rFonts w:asciiTheme="majorHAnsi" w:eastAsia="Times New Roman" w:hAnsiTheme="majorHAnsi" w:cstheme="majorHAnsi"/>
                <w:sz w:val="24"/>
                <w:szCs w:val="24"/>
                <w:lang w:val="en-GB" w:eastAsia="en-GB"/>
              </w:rPr>
            </w:pPr>
            <w:r w:rsidRPr="00A843F1">
              <w:rPr>
                <w:rFonts w:asciiTheme="majorHAnsi" w:eastAsia="Times New Roman" w:hAnsiTheme="majorHAnsi" w:cstheme="majorHAnsi"/>
                <w:noProof/>
                <w:sz w:val="24"/>
                <w:szCs w:val="24"/>
                <w:bdr w:val="none" w:sz="0" w:space="0" w:color="auto" w:frame="1"/>
                <w:lang w:val="en-GB" w:eastAsia="en-GB"/>
              </w:rPr>
              <w:drawing>
                <wp:inline distT="0" distB="0" distL="0" distR="0" wp14:anchorId="7C1B8FE0" wp14:editId="486B83C1">
                  <wp:extent cx="2286000" cy="1200150"/>
                  <wp:effectExtent l="0" t="0" r="0" b="0"/>
                  <wp:docPr id="1" name="LPThumbnailImageId195635" descr="https://www.gov.uk/assets/static/govuk-opengraph-image-4196a4d6333cf92aaf720047f56cfd91b3532d7635fc21ebcf0d5897df6b5f77.png">
                    <a:hlinkClick xmlns:a="http://schemas.openxmlformats.org/drawingml/2006/main" r:id="rId7" tgtFrame="&quot;_blank&quot;" tooltip="&quot;https://www.gov.uk/government/publications/school-food-standards-resources-for-schools/allergy-guidance-for-schools?es_c=2A2201DFE31E9BCCD826C4B3240AFD31&amp;es_cl=FA54D4537DB607E143B8A3909603C060&amp;es_id=ph7%c2%a3o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ThumbnailImageId195635" descr="https://www.gov.uk/assets/static/govuk-opengraph-image-4196a4d6333cf92aaf720047f56cfd91b3532d7635fc21ebcf0d5897df6b5f77.png">
                            <a:hlinkClick r:id="rId7" tgtFrame="&quot;_blank&quot;" tooltip="&quot;https://www.gov.uk/government/publications/school-food-standards-resources-for-schools/allergy-guidance-for-schools?es_c=2A2201DFE31E9BCCD826C4B3240AFD31&amp;es_cl=FA54D4537DB607E143B8A3909603C060&amp;es_id=ph7%c2%a3o1&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200150"/>
                          </a:xfrm>
                          <a:prstGeom prst="rect">
                            <a:avLst/>
                          </a:prstGeom>
                          <a:noFill/>
                          <a:ln>
                            <a:noFill/>
                          </a:ln>
                        </pic:spPr>
                      </pic:pic>
                    </a:graphicData>
                  </a:graphic>
                </wp:inline>
              </w:drawing>
            </w:r>
          </w:p>
        </w:tc>
        <w:tc>
          <w:tcPr>
            <w:tcW w:w="1692" w:type="dxa"/>
            <w:hideMark/>
          </w:tcPr>
          <w:p w14:paraId="5D1A1BB0" w14:textId="77777777" w:rsidR="005B4B98" w:rsidRPr="00A843F1" w:rsidRDefault="00C97634" w:rsidP="00A843F1">
            <w:pPr>
              <w:rPr>
                <w:rFonts w:asciiTheme="majorHAnsi" w:eastAsia="Times New Roman" w:hAnsiTheme="majorHAnsi" w:cstheme="majorHAnsi"/>
                <w:sz w:val="24"/>
                <w:szCs w:val="24"/>
                <w:lang w:val="en-GB" w:eastAsia="en-GB"/>
              </w:rPr>
            </w:pPr>
            <w:hyperlink r:id="rId9" w:tgtFrame="_blank" w:tooltip="https://www.gov.uk/government/publications/school-food-standards-resources-for-schools/allergy-guidance-for-schools?es_c=2A2201DFE31E9BCCD826C4B3240AFD31&amp;es_cl=FA54D4537DB607E143B8A3909603C060&amp;es_id=ph7%c2%a3o1" w:history="1">
              <w:r w:rsidR="005B4B98" w:rsidRPr="00A843F1">
                <w:rPr>
                  <w:rFonts w:asciiTheme="majorHAnsi" w:eastAsia="Times New Roman" w:hAnsiTheme="majorHAnsi" w:cstheme="majorHAnsi"/>
                  <w:sz w:val="24"/>
                  <w:szCs w:val="24"/>
                  <w:u w:val="single"/>
                  <w:bdr w:val="none" w:sz="0" w:space="0" w:color="auto" w:frame="1"/>
                  <w:lang w:val="en-GB" w:eastAsia="en-GB"/>
                </w:rPr>
                <w:t>Allergy guidance for schools</w:t>
              </w:r>
            </w:hyperlink>
          </w:p>
          <w:p w14:paraId="4DA52865" w14:textId="77777777" w:rsidR="005B4B98" w:rsidRPr="00A843F1" w:rsidRDefault="005B4B98" w:rsidP="00A843F1">
            <w:pPr>
              <w:rPr>
                <w:rFonts w:asciiTheme="majorHAnsi" w:eastAsia="Times New Roman" w:hAnsiTheme="majorHAnsi" w:cstheme="majorHAnsi"/>
                <w:sz w:val="24"/>
                <w:szCs w:val="24"/>
                <w:lang w:val="en-GB" w:eastAsia="en-GB"/>
              </w:rPr>
            </w:pPr>
            <w:r w:rsidRPr="00A843F1">
              <w:rPr>
                <w:rFonts w:asciiTheme="majorHAnsi" w:eastAsia="Times New Roman" w:hAnsiTheme="majorHAnsi" w:cstheme="majorHAnsi"/>
                <w:sz w:val="24"/>
                <w:szCs w:val="24"/>
                <w:lang w:val="en-GB" w:eastAsia="en-GB"/>
              </w:rPr>
              <w:t>www.gov.uk</w:t>
            </w:r>
          </w:p>
        </w:tc>
      </w:tr>
    </w:tbl>
    <w:p w14:paraId="5B6EE9FA" w14:textId="77777777" w:rsidR="005B4B98" w:rsidRPr="00A843F1" w:rsidRDefault="005B4B98" w:rsidP="00A843F1">
      <w:pPr>
        <w:rPr>
          <w:rFonts w:asciiTheme="majorHAnsi" w:eastAsia="Times New Roman" w:hAnsiTheme="majorHAnsi" w:cstheme="majorHAnsi"/>
          <w:sz w:val="24"/>
          <w:szCs w:val="24"/>
          <w:lang w:val="en-GB" w:eastAsia="en-GB"/>
        </w:rPr>
      </w:pPr>
    </w:p>
    <w:p w14:paraId="4913150E" w14:textId="77777777" w:rsidR="005B4B98" w:rsidRPr="00A843F1" w:rsidRDefault="005B4B98" w:rsidP="00A843F1">
      <w:pPr>
        <w:rPr>
          <w:rFonts w:asciiTheme="majorHAnsi" w:hAnsiTheme="majorHAnsi" w:cstheme="majorHAnsi"/>
          <w:sz w:val="24"/>
          <w:szCs w:val="24"/>
        </w:rPr>
      </w:pPr>
    </w:p>
    <w:p w14:paraId="1FE7675D" w14:textId="0139F55B" w:rsidR="00386F6E" w:rsidRPr="00A843F1" w:rsidRDefault="00C368B0" w:rsidP="00A843F1">
      <w:pPr>
        <w:rPr>
          <w:rFonts w:asciiTheme="majorHAnsi" w:hAnsiTheme="majorHAnsi" w:cstheme="majorHAnsi"/>
          <w:sz w:val="24"/>
          <w:szCs w:val="24"/>
        </w:rPr>
      </w:pPr>
      <w:r>
        <w:rPr>
          <w:rFonts w:asciiTheme="majorHAnsi" w:hAnsiTheme="majorHAnsi" w:cstheme="majorHAnsi"/>
          <w:sz w:val="24"/>
          <w:szCs w:val="24"/>
        </w:rPr>
        <w:t xml:space="preserve">Date: </w:t>
      </w:r>
      <w:r w:rsidR="00C97634">
        <w:rPr>
          <w:rFonts w:asciiTheme="majorHAnsi" w:hAnsiTheme="majorHAnsi" w:cstheme="majorHAnsi"/>
          <w:sz w:val="24"/>
          <w:szCs w:val="24"/>
        </w:rPr>
        <w:t>March 2026</w:t>
      </w:r>
    </w:p>
    <w:sectPr w:rsidR="00386F6E" w:rsidRPr="00A843F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5B34167"/>
    <w:multiLevelType w:val="multilevel"/>
    <w:tmpl w:val="8D821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706D75"/>
    <w:multiLevelType w:val="hybridMultilevel"/>
    <w:tmpl w:val="1D54AA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86F6E"/>
    <w:rsid w:val="004B00CC"/>
    <w:rsid w:val="004F486E"/>
    <w:rsid w:val="005B4B98"/>
    <w:rsid w:val="00654D77"/>
    <w:rsid w:val="00730F33"/>
    <w:rsid w:val="008C05EB"/>
    <w:rsid w:val="0095691F"/>
    <w:rsid w:val="009E710B"/>
    <w:rsid w:val="00A0212D"/>
    <w:rsid w:val="00A843F1"/>
    <w:rsid w:val="00AA1D8D"/>
    <w:rsid w:val="00B47730"/>
    <w:rsid w:val="00C314E3"/>
    <w:rsid w:val="00C368B0"/>
    <w:rsid w:val="00C97634"/>
    <w:rsid w:val="00CB0664"/>
    <w:rsid w:val="00D27ACC"/>
    <w:rsid w:val="00D677D1"/>
    <w:rsid w:val="00E15816"/>
    <w:rsid w:val="00F74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E766F2"/>
  <w14:defaultImageDpi w14:val="300"/>
  <w15:docId w15:val="{4633F1B1-EC3B-4498-AF19-A591E5DFB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13332">
      <w:bodyDiv w:val="1"/>
      <w:marLeft w:val="0"/>
      <w:marRight w:val="0"/>
      <w:marTop w:val="0"/>
      <w:marBottom w:val="0"/>
      <w:divBdr>
        <w:top w:val="none" w:sz="0" w:space="0" w:color="auto"/>
        <w:left w:val="none" w:sz="0" w:space="0" w:color="auto"/>
        <w:bottom w:val="none" w:sz="0" w:space="0" w:color="auto"/>
        <w:right w:val="none" w:sz="0" w:space="0" w:color="auto"/>
      </w:divBdr>
    </w:div>
    <w:div w:id="877938450">
      <w:bodyDiv w:val="1"/>
      <w:marLeft w:val="0"/>
      <w:marRight w:val="0"/>
      <w:marTop w:val="0"/>
      <w:marBottom w:val="0"/>
      <w:divBdr>
        <w:top w:val="none" w:sz="0" w:space="0" w:color="auto"/>
        <w:left w:val="none" w:sz="0" w:space="0" w:color="auto"/>
        <w:bottom w:val="none" w:sz="0" w:space="0" w:color="auto"/>
        <w:right w:val="none" w:sz="0" w:space="0" w:color="auto"/>
      </w:divBdr>
    </w:div>
    <w:div w:id="949317020">
      <w:bodyDiv w:val="1"/>
      <w:marLeft w:val="0"/>
      <w:marRight w:val="0"/>
      <w:marTop w:val="0"/>
      <w:marBottom w:val="0"/>
      <w:divBdr>
        <w:top w:val="none" w:sz="0" w:space="0" w:color="auto"/>
        <w:left w:val="none" w:sz="0" w:space="0" w:color="auto"/>
        <w:bottom w:val="none" w:sz="0" w:space="0" w:color="auto"/>
        <w:right w:val="none" w:sz="0" w:space="0" w:color="auto"/>
      </w:divBdr>
      <w:divsChild>
        <w:div w:id="1538859601">
          <w:marLeft w:val="0"/>
          <w:marRight w:val="0"/>
          <w:marTop w:val="0"/>
          <w:marBottom w:val="0"/>
          <w:divBdr>
            <w:top w:val="none" w:sz="0" w:space="0" w:color="auto"/>
            <w:left w:val="none" w:sz="0" w:space="0" w:color="auto"/>
            <w:bottom w:val="none" w:sz="0" w:space="0" w:color="auto"/>
            <w:right w:val="none" w:sz="0" w:space="0" w:color="auto"/>
          </w:divBdr>
        </w:div>
        <w:div w:id="2095592118">
          <w:marLeft w:val="0"/>
          <w:marRight w:val="0"/>
          <w:marTop w:val="0"/>
          <w:marBottom w:val="0"/>
          <w:divBdr>
            <w:top w:val="none" w:sz="0" w:space="0" w:color="auto"/>
            <w:left w:val="none" w:sz="0" w:space="0" w:color="auto"/>
            <w:bottom w:val="none" w:sz="0" w:space="0" w:color="auto"/>
            <w:right w:val="none" w:sz="0" w:space="0" w:color="auto"/>
          </w:divBdr>
        </w:div>
        <w:div w:id="91779458">
          <w:marLeft w:val="0"/>
          <w:marRight w:val="0"/>
          <w:marTop w:val="0"/>
          <w:marBottom w:val="0"/>
          <w:divBdr>
            <w:top w:val="none" w:sz="0" w:space="0" w:color="auto"/>
            <w:left w:val="none" w:sz="0" w:space="0" w:color="auto"/>
            <w:bottom w:val="none" w:sz="0" w:space="0" w:color="auto"/>
            <w:right w:val="none" w:sz="0" w:space="0" w:color="auto"/>
          </w:divBdr>
        </w:div>
        <w:div w:id="77365217">
          <w:marLeft w:val="0"/>
          <w:marRight w:val="0"/>
          <w:marTop w:val="0"/>
          <w:marBottom w:val="0"/>
          <w:divBdr>
            <w:top w:val="none" w:sz="0" w:space="0" w:color="auto"/>
            <w:left w:val="none" w:sz="0" w:space="0" w:color="auto"/>
            <w:bottom w:val="none" w:sz="0" w:space="0" w:color="auto"/>
            <w:right w:val="none" w:sz="0" w:space="0" w:color="auto"/>
          </w:divBdr>
          <w:divsChild>
            <w:div w:id="909464001">
              <w:marLeft w:val="0"/>
              <w:marRight w:val="0"/>
              <w:marTop w:val="240"/>
              <w:marBottom w:val="240"/>
              <w:divBdr>
                <w:top w:val="none" w:sz="0" w:space="0" w:color="auto"/>
                <w:left w:val="none" w:sz="0" w:space="0" w:color="auto"/>
                <w:bottom w:val="none" w:sz="0" w:space="0" w:color="auto"/>
                <w:right w:val="none" w:sz="0" w:space="0" w:color="auto"/>
              </w:divBdr>
              <w:divsChild>
                <w:div w:id="1121343305">
                  <w:marLeft w:val="0"/>
                  <w:marRight w:val="0"/>
                  <w:marTop w:val="0"/>
                  <w:marBottom w:val="0"/>
                  <w:divBdr>
                    <w:top w:val="none" w:sz="0" w:space="0" w:color="auto"/>
                    <w:left w:val="none" w:sz="0" w:space="0" w:color="auto"/>
                    <w:bottom w:val="none" w:sz="0" w:space="0" w:color="auto"/>
                    <w:right w:val="none" w:sz="0" w:space="0" w:color="auto"/>
                  </w:divBdr>
                  <w:divsChild>
                    <w:div w:id="846863699">
                      <w:marLeft w:val="0"/>
                      <w:marRight w:val="0"/>
                      <w:marTop w:val="0"/>
                      <w:marBottom w:val="0"/>
                      <w:divBdr>
                        <w:top w:val="none" w:sz="0" w:space="0" w:color="auto"/>
                        <w:left w:val="none" w:sz="0" w:space="0" w:color="auto"/>
                        <w:bottom w:val="none" w:sz="0" w:space="0" w:color="auto"/>
                        <w:right w:val="none" w:sz="0" w:space="0" w:color="auto"/>
                      </w:divBdr>
                    </w:div>
                    <w:div w:id="208760725">
                      <w:marLeft w:val="0"/>
                      <w:marRight w:val="180"/>
                      <w:marTop w:val="0"/>
                      <w:marBottom w:val="0"/>
                      <w:divBdr>
                        <w:top w:val="none" w:sz="0" w:space="0" w:color="auto"/>
                        <w:left w:val="none" w:sz="0" w:space="0" w:color="auto"/>
                        <w:bottom w:val="none" w:sz="0" w:space="0" w:color="auto"/>
                        <w:right w:val="none" w:sz="0" w:space="0" w:color="auto"/>
                      </w:divBdr>
                    </w:div>
                    <w:div w:id="1505364882">
                      <w:marLeft w:val="0"/>
                      <w:marRight w:val="120"/>
                      <w:marTop w:val="0"/>
                      <w:marBottom w:val="180"/>
                      <w:divBdr>
                        <w:top w:val="none" w:sz="0" w:space="0" w:color="auto"/>
                        <w:left w:val="none" w:sz="0" w:space="0" w:color="auto"/>
                        <w:bottom w:val="none" w:sz="0" w:space="0" w:color="auto"/>
                        <w:right w:val="none" w:sz="0" w:space="0" w:color="auto"/>
                      </w:divBdr>
                    </w:div>
                    <w:div w:id="15769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2566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www.gov.uk/government/publications/school-food-standards-resources-for-schools/allergy-guidance-for-schools?es_c=2A2201DFE31E9BCCD826C4B3240AFD31&amp;es_cl=FA54D4537DB607E143B8A3909603C060&amp;es_id=ph7%c2%a3o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school-food-standards-resources-for-schools/allergy-guidance-for-schools?es_c=2A2201DFE31E9BCCD826C4B3240AFD31&amp;es_cl=FA54D4537DB607E143B8A3909603C060&amp;es_id=ph7%c2%a3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0BB17-A2C3-47BF-97E9-3B2F75615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Bollington St Johns Primary Head</cp:lastModifiedBy>
  <cp:revision>7</cp:revision>
  <dcterms:created xsi:type="dcterms:W3CDTF">2026-01-26T09:44:00Z</dcterms:created>
  <dcterms:modified xsi:type="dcterms:W3CDTF">2026-01-28T12:20:00Z</dcterms:modified>
  <cp:category/>
</cp:coreProperties>
</file>