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63"/>
        <w:gridCol w:w="6753"/>
      </w:tblGrid>
      <w:tr w:rsidR="006A6BE6" w:rsidRPr="003B22C4" w14:paraId="7C9DF850" w14:textId="77777777" w:rsidTr="002E6758">
        <w:trPr>
          <w:trHeight w:val="1926"/>
        </w:trPr>
        <w:tc>
          <w:tcPr>
            <w:tcW w:w="2263" w:type="dxa"/>
          </w:tcPr>
          <w:p w14:paraId="5916AFFF" w14:textId="3B7EB040" w:rsidR="006A6BE6" w:rsidRPr="003B22C4" w:rsidRDefault="00033AD0" w:rsidP="00A71B5C">
            <w:pPr>
              <w:rPr>
                <w:rFonts w:ascii="Arial" w:eastAsia="Calibri" w:hAnsi="Arial" w:cs="Arial"/>
                <w:sz w:val="22"/>
                <w:szCs w:val="22"/>
              </w:rPr>
            </w:pPr>
            <w:r>
              <w:rPr>
                <w:rFonts w:ascii="Arial" w:hAnsi="Arial" w:cs="Arial"/>
                <w:noProof/>
                <w:sz w:val="22"/>
                <w:szCs w:val="22"/>
              </w:rPr>
              <w:drawing>
                <wp:anchor distT="0" distB="0" distL="114300" distR="114300" simplePos="0" relativeHeight="251657728" behindDoc="0" locked="0" layoutInCell="1" allowOverlap="1" wp14:anchorId="36E039AA" wp14:editId="03372CA9">
                  <wp:simplePos x="0" y="0"/>
                  <wp:positionH relativeFrom="column">
                    <wp:posOffset>-20320</wp:posOffset>
                  </wp:positionH>
                  <wp:positionV relativeFrom="paragraph">
                    <wp:posOffset>0</wp:posOffset>
                  </wp:positionV>
                  <wp:extent cx="1160780" cy="1152525"/>
                  <wp:effectExtent l="0" t="0" r="0" b="0"/>
                  <wp:wrapSquare wrapText="bothSides"/>
                  <wp:docPr id="3"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6753" w:type="dxa"/>
          </w:tcPr>
          <w:p w14:paraId="566AB263" w14:textId="77777777" w:rsidR="006A6BE6" w:rsidRPr="004873E9" w:rsidRDefault="006A6BE6" w:rsidP="00A71B5C">
            <w:pPr>
              <w:rPr>
                <w:rFonts w:ascii="Arial" w:hAnsi="Arial" w:cs="Arial"/>
                <w:b/>
                <w:sz w:val="28"/>
                <w:szCs w:val="22"/>
              </w:rPr>
            </w:pPr>
            <w:r w:rsidRPr="004873E9">
              <w:rPr>
                <w:rFonts w:ascii="Arial" w:hAnsi="Arial" w:cs="Arial"/>
                <w:b/>
                <w:sz w:val="28"/>
                <w:szCs w:val="22"/>
              </w:rPr>
              <w:t xml:space="preserve">Barrow CE Primary School </w:t>
            </w:r>
          </w:p>
          <w:p w14:paraId="564A5741" w14:textId="77777777" w:rsidR="006A6BE6" w:rsidRPr="004873E9" w:rsidRDefault="006A6BE6" w:rsidP="00A71B5C">
            <w:pPr>
              <w:rPr>
                <w:rFonts w:ascii="Arial" w:hAnsi="Arial" w:cs="Arial"/>
                <w:b/>
                <w:sz w:val="28"/>
                <w:szCs w:val="22"/>
              </w:rPr>
            </w:pPr>
          </w:p>
          <w:p w14:paraId="7D0249E7" w14:textId="77777777" w:rsidR="006A6BE6" w:rsidRPr="004873E9" w:rsidRDefault="003B22C4" w:rsidP="00A71B5C">
            <w:pPr>
              <w:rPr>
                <w:rFonts w:ascii="Arial" w:hAnsi="Arial" w:cs="Arial"/>
                <w:b/>
                <w:sz w:val="28"/>
                <w:szCs w:val="22"/>
              </w:rPr>
            </w:pPr>
            <w:r w:rsidRPr="004873E9">
              <w:rPr>
                <w:rFonts w:ascii="Arial" w:hAnsi="Arial" w:cs="Arial"/>
                <w:b/>
                <w:sz w:val="28"/>
                <w:szCs w:val="22"/>
              </w:rPr>
              <w:t xml:space="preserve">Charging and </w:t>
            </w:r>
            <w:r w:rsidR="00F4195D" w:rsidRPr="004873E9">
              <w:rPr>
                <w:rFonts w:ascii="Arial" w:hAnsi="Arial" w:cs="Arial"/>
                <w:b/>
                <w:sz w:val="28"/>
                <w:szCs w:val="22"/>
              </w:rPr>
              <w:t>R</w:t>
            </w:r>
            <w:r w:rsidRPr="004873E9">
              <w:rPr>
                <w:rFonts w:ascii="Arial" w:hAnsi="Arial" w:cs="Arial"/>
                <w:b/>
                <w:sz w:val="28"/>
                <w:szCs w:val="22"/>
              </w:rPr>
              <w:t xml:space="preserve">emissions </w:t>
            </w:r>
            <w:r w:rsidR="006A6BE6" w:rsidRPr="004873E9">
              <w:rPr>
                <w:rFonts w:ascii="Arial" w:hAnsi="Arial" w:cs="Arial"/>
                <w:b/>
                <w:sz w:val="28"/>
                <w:szCs w:val="22"/>
              </w:rPr>
              <w:t xml:space="preserve">Policy </w:t>
            </w:r>
          </w:p>
          <w:p w14:paraId="5BDA1555" w14:textId="77777777" w:rsidR="006A6BE6" w:rsidRPr="004873E9" w:rsidRDefault="006A6BE6" w:rsidP="00A71B5C">
            <w:pPr>
              <w:rPr>
                <w:rFonts w:ascii="Arial" w:hAnsi="Arial" w:cs="Arial"/>
                <w:b/>
                <w:sz w:val="28"/>
                <w:szCs w:val="22"/>
              </w:rPr>
            </w:pPr>
          </w:p>
          <w:p w14:paraId="587145CE" w14:textId="1086C40F" w:rsidR="006A6BE6" w:rsidRPr="004873E9" w:rsidRDefault="006A6BE6" w:rsidP="00A71B5C">
            <w:pPr>
              <w:rPr>
                <w:rFonts w:ascii="Arial" w:hAnsi="Arial" w:cs="Arial"/>
                <w:b/>
                <w:sz w:val="28"/>
                <w:szCs w:val="22"/>
              </w:rPr>
            </w:pPr>
            <w:r w:rsidRPr="004873E9">
              <w:rPr>
                <w:rFonts w:ascii="Arial" w:hAnsi="Arial" w:cs="Arial"/>
                <w:b/>
                <w:sz w:val="28"/>
                <w:szCs w:val="22"/>
              </w:rPr>
              <w:t>November 20</w:t>
            </w:r>
            <w:r w:rsidR="00AB4814">
              <w:rPr>
                <w:rFonts w:ascii="Arial" w:hAnsi="Arial" w:cs="Arial"/>
                <w:b/>
                <w:sz w:val="28"/>
                <w:szCs w:val="22"/>
              </w:rPr>
              <w:t>2</w:t>
            </w:r>
            <w:r w:rsidR="00601DEE">
              <w:rPr>
                <w:rFonts w:ascii="Arial" w:hAnsi="Arial" w:cs="Arial"/>
                <w:b/>
                <w:sz w:val="28"/>
                <w:szCs w:val="22"/>
              </w:rPr>
              <w:t>5</w:t>
            </w:r>
          </w:p>
          <w:p w14:paraId="0C8FC735" w14:textId="77777777" w:rsidR="002E6758" w:rsidRPr="004873E9" w:rsidRDefault="002E6758" w:rsidP="00A71B5C">
            <w:pPr>
              <w:rPr>
                <w:rFonts w:ascii="Arial" w:hAnsi="Arial" w:cs="Arial"/>
                <w:b/>
                <w:sz w:val="28"/>
                <w:szCs w:val="22"/>
              </w:rPr>
            </w:pPr>
          </w:p>
          <w:p w14:paraId="02D9E7CB" w14:textId="77777777" w:rsidR="002E6758" w:rsidRPr="004873E9" w:rsidRDefault="002E6758" w:rsidP="00A71B5C">
            <w:pPr>
              <w:rPr>
                <w:rFonts w:ascii="Arial" w:hAnsi="Arial" w:cs="Arial"/>
                <w:b/>
                <w:sz w:val="28"/>
                <w:szCs w:val="22"/>
              </w:rPr>
            </w:pPr>
          </w:p>
        </w:tc>
      </w:tr>
    </w:tbl>
    <w:p w14:paraId="534BFD4A" w14:textId="77777777" w:rsidR="004873E9" w:rsidRDefault="004873E9" w:rsidP="003B22C4">
      <w:pPr>
        <w:pStyle w:val="aLCPSubhead"/>
        <w:ind w:left="0"/>
        <w:rPr>
          <w:rFonts w:ascii="Arial" w:hAnsi="Arial"/>
          <w:sz w:val="22"/>
          <w:szCs w:val="22"/>
        </w:rPr>
      </w:pPr>
    </w:p>
    <w:p w14:paraId="2540E3C4" w14:textId="77777777" w:rsidR="00F4195D" w:rsidRPr="003B22C4" w:rsidRDefault="00F4195D" w:rsidP="004873E9">
      <w:pPr>
        <w:pStyle w:val="aLCPSubhead"/>
        <w:ind w:left="0" w:firstLine="567"/>
        <w:rPr>
          <w:rFonts w:ascii="Arial" w:hAnsi="Arial"/>
          <w:sz w:val="22"/>
          <w:szCs w:val="22"/>
        </w:rPr>
      </w:pPr>
      <w:r w:rsidRPr="003B22C4">
        <w:rPr>
          <w:rFonts w:ascii="Arial" w:hAnsi="Arial"/>
          <w:sz w:val="22"/>
          <w:szCs w:val="22"/>
        </w:rPr>
        <w:t>Policy on charging for</w:t>
      </w:r>
      <w:r w:rsidR="004873E9">
        <w:rPr>
          <w:rFonts w:ascii="Arial" w:hAnsi="Arial"/>
          <w:sz w:val="22"/>
          <w:szCs w:val="22"/>
        </w:rPr>
        <w:t>,</w:t>
      </w:r>
      <w:r w:rsidRPr="003B22C4">
        <w:rPr>
          <w:rFonts w:ascii="Arial" w:hAnsi="Arial"/>
          <w:sz w:val="22"/>
          <w:szCs w:val="22"/>
        </w:rPr>
        <w:t xml:space="preserve"> and remissions for</w:t>
      </w:r>
      <w:r w:rsidR="004873E9">
        <w:rPr>
          <w:rFonts w:ascii="Arial" w:hAnsi="Arial"/>
          <w:sz w:val="22"/>
          <w:szCs w:val="22"/>
        </w:rPr>
        <w:t>,</w:t>
      </w:r>
      <w:r w:rsidRPr="003B22C4">
        <w:rPr>
          <w:rFonts w:ascii="Arial" w:hAnsi="Arial"/>
          <w:sz w:val="22"/>
          <w:szCs w:val="22"/>
        </w:rPr>
        <w:t xml:space="preserve"> school activities</w:t>
      </w:r>
    </w:p>
    <w:p w14:paraId="456E8E8D" w14:textId="77777777" w:rsidR="00F4195D" w:rsidRPr="003B22C4" w:rsidRDefault="00F4195D" w:rsidP="004B4905">
      <w:pPr>
        <w:pStyle w:val="aLCPSubhead"/>
        <w:rPr>
          <w:rFonts w:ascii="Arial" w:hAnsi="Arial"/>
          <w:sz w:val="22"/>
          <w:szCs w:val="22"/>
        </w:rPr>
      </w:pPr>
    </w:p>
    <w:p w14:paraId="3D5F817A" w14:textId="77777777" w:rsidR="004B4905" w:rsidRPr="003B22C4" w:rsidRDefault="004B4905"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At </w:t>
      </w:r>
      <w:r w:rsidR="00F4195D" w:rsidRPr="003B22C4">
        <w:rPr>
          <w:rFonts w:ascii="Arial" w:hAnsi="Arial"/>
          <w:b w:val="0"/>
          <w:sz w:val="22"/>
          <w:szCs w:val="22"/>
        </w:rPr>
        <w:t xml:space="preserve">Barrow CE Primary </w:t>
      </w:r>
      <w:r w:rsidRPr="003B22C4">
        <w:rPr>
          <w:rFonts w:ascii="Arial" w:hAnsi="Arial"/>
          <w:b w:val="0"/>
          <w:sz w:val="22"/>
          <w:szCs w:val="22"/>
        </w:rPr>
        <w:t xml:space="preserve">School, we believe that all our </w:t>
      </w:r>
      <w:r w:rsidR="00F4195D" w:rsidRPr="003B22C4">
        <w:rPr>
          <w:rFonts w:ascii="Arial" w:hAnsi="Arial"/>
          <w:b w:val="0"/>
          <w:sz w:val="22"/>
          <w:szCs w:val="22"/>
        </w:rPr>
        <w:t>pupils should have an equal opportunity to benefit fr</w:t>
      </w:r>
      <w:r w:rsidRPr="003B22C4">
        <w:rPr>
          <w:rFonts w:ascii="Arial" w:hAnsi="Arial"/>
          <w:b w:val="0"/>
          <w:sz w:val="22"/>
          <w:szCs w:val="22"/>
        </w:rPr>
        <w:t>om school activities and visits, both curricular and extra-curricular,</w:t>
      </w:r>
      <w:r w:rsidR="00F4195D" w:rsidRPr="003B22C4">
        <w:rPr>
          <w:rFonts w:ascii="Arial" w:hAnsi="Arial"/>
          <w:b w:val="0"/>
          <w:sz w:val="22"/>
          <w:szCs w:val="22"/>
        </w:rPr>
        <w:t xml:space="preserve"> independent of their parents’ financial means. This charging and remissions policy describes how we will do our best to ensure a good range of visits and activities is offered and, at the same time, try to minimise the financial barriers which may prevent some pupils taking full advantage of the opportunities.</w:t>
      </w:r>
    </w:p>
    <w:p w14:paraId="13F6FF63" w14:textId="77777777" w:rsidR="004B4905" w:rsidRPr="003B22C4" w:rsidRDefault="004B4905" w:rsidP="004873E9">
      <w:pPr>
        <w:pStyle w:val="aLCPSubhead"/>
        <w:ind w:hanging="567"/>
        <w:rPr>
          <w:rFonts w:ascii="Arial" w:hAnsi="Arial"/>
          <w:b w:val="0"/>
          <w:sz w:val="22"/>
          <w:szCs w:val="22"/>
        </w:rPr>
      </w:pPr>
    </w:p>
    <w:p w14:paraId="05B0392F"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policy identifies activities for which:</w:t>
      </w:r>
    </w:p>
    <w:p w14:paraId="548E66BC" w14:textId="77777777" w:rsidR="004B4905" w:rsidRPr="003B22C4" w:rsidRDefault="004B4905" w:rsidP="004873E9">
      <w:pPr>
        <w:pStyle w:val="aLCPSubhead"/>
        <w:numPr>
          <w:ilvl w:val="0"/>
          <w:numId w:val="5"/>
        </w:numPr>
        <w:rPr>
          <w:rFonts w:ascii="Arial" w:hAnsi="Arial"/>
          <w:b w:val="0"/>
          <w:sz w:val="22"/>
          <w:szCs w:val="22"/>
        </w:rPr>
      </w:pPr>
      <w:r w:rsidRPr="003B22C4">
        <w:rPr>
          <w:rFonts w:ascii="Arial" w:hAnsi="Arial"/>
          <w:b w:val="0"/>
          <w:sz w:val="22"/>
          <w:szCs w:val="22"/>
        </w:rPr>
        <w:t>charges will not be made</w:t>
      </w:r>
    </w:p>
    <w:p w14:paraId="76083002" w14:textId="77777777" w:rsidR="004B4905" w:rsidRPr="003B22C4" w:rsidRDefault="00F4195D" w:rsidP="004873E9">
      <w:pPr>
        <w:pStyle w:val="aLCPSubhead"/>
        <w:numPr>
          <w:ilvl w:val="0"/>
          <w:numId w:val="5"/>
        </w:numPr>
        <w:rPr>
          <w:rFonts w:ascii="Arial" w:hAnsi="Arial"/>
          <w:b w:val="0"/>
          <w:sz w:val="22"/>
          <w:szCs w:val="22"/>
        </w:rPr>
      </w:pPr>
      <w:r w:rsidRPr="003B22C4">
        <w:rPr>
          <w:rFonts w:ascii="Arial" w:hAnsi="Arial"/>
          <w:b w:val="0"/>
          <w:sz w:val="22"/>
          <w:szCs w:val="22"/>
        </w:rPr>
        <w:t>charges will be made</w:t>
      </w:r>
    </w:p>
    <w:p w14:paraId="3326A447" w14:textId="77777777" w:rsidR="00F4195D" w:rsidRPr="003B22C4" w:rsidRDefault="00F4195D" w:rsidP="004873E9">
      <w:pPr>
        <w:pStyle w:val="aLCPSubhead"/>
        <w:numPr>
          <w:ilvl w:val="0"/>
          <w:numId w:val="5"/>
        </w:numPr>
        <w:rPr>
          <w:rFonts w:ascii="Arial" w:hAnsi="Arial"/>
          <w:b w:val="0"/>
          <w:sz w:val="22"/>
          <w:szCs w:val="22"/>
        </w:rPr>
      </w:pPr>
      <w:r w:rsidRPr="003B22C4">
        <w:rPr>
          <w:rFonts w:ascii="Arial" w:hAnsi="Arial"/>
          <w:b w:val="0"/>
          <w:sz w:val="22"/>
          <w:szCs w:val="22"/>
        </w:rPr>
        <w:t>charges may be waived</w:t>
      </w:r>
    </w:p>
    <w:p w14:paraId="6C7912D4" w14:textId="77777777" w:rsidR="004B4905" w:rsidRPr="003B22C4" w:rsidRDefault="004B4905" w:rsidP="004873E9">
      <w:pPr>
        <w:pStyle w:val="aLCPSubhead"/>
        <w:ind w:hanging="567"/>
        <w:rPr>
          <w:rFonts w:ascii="Arial" w:hAnsi="Arial"/>
          <w:b w:val="0"/>
          <w:sz w:val="22"/>
          <w:szCs w:val="22"/>
        </w:rPr>
      </w:pPr>
    </w:p>
    <w:p w14:paraId="7BD44373" w14:textId="77777777" w:rsidR="004B4905" w:rsidRPr="003B22C4" w:rsidRDefault="004B4905" w:rsidP="004873E9">
      <w:pPr>
        <w:pStyle w:val="aLCPSubhead"/>
        <w:rPr>
          <w:rFonts w:ascii="Arial" w:hAnsi="Arial"/>
          <w:b w:val="0"/>
          <w:sz w:val="22"/>
          <w:szCs w:val="22"/>
        </w:rPr>
      </w:pPr>
      <w:r w:rsidRPr="003B22C4">
        <w:rPr>
          <w:rFonts w:ascii="Arial" w:hAnsi="Arial"/>
          <w:b w:val="0"/>
          <w:sz w:val="22"/>
          <w:szCs w:val="22"/>
        </w:rPr>
        <w:t xml:space="preserve">Voluntary </w:t>
      </w:r>
      <w:r w:rsidR="00F4195D" w:rsidRPr="003B22C4">
        <w:rPr>
          <w:rFonts w:ascii="Arial" w:hAnsi="Arial"/>
          <w:b w:val="0"/>
          <w:sz w:val="22"/>
          <w:szCs w:val="22"/>
        </w:rPr>
        <w:t>contributions</w:t>
      </w:r>
    </w:p>
    <w:p w14:paraId="192C9D79" w14:textId="77777777" w:rsidR="003B22C4" w:rsidRPr="003B22C4" w:rsidRDefault="003B22C4" w:rsidP="004873E9">
      <w:pPr>
        <w:pStyle w:val="aLCPSubhead"/>
        <w:ind w:hanging="567"/>
        <w:rPr>
          <w:rFonts w:ascii="Arial" w:hAnsi="Arial"/>
          <w:b w:val="0"/>
          <w:sz w:val="22"/>
          <w:szCs w:val="22"/>
        </w:rPr>
      </w:pPr>
    </w:p>
    <w:p w14:paraId="5FA1E6D3"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Separately from the matter of charging, schools may seek voluntary contributions</w:t>
      </w:r>
      <w:r w:rsidR="004B4905" w:rsidRPr="003B22C4">
        <w:rPr>
          <w:rFonts w:ascii="Arial" w:hAnsi="Arial"/>
          <w:b w:val="0"/>
          <w:sz w:val="22"/>
          <w:szCs w:val="22"/>
        </w:rPr>
        <w:t xml:space="preserve"> </w:t>
      </w:r>
      <w:proofErr w:type="gramStart"/>
      <w:r w:rsidRPr="003B22C4">
        <w:rPr>
          <w:rFonts w:ascii="Arial" w:hAnsi="Arial"/>
          <w:b w:val="0"/>
          <w:sz w:val="22"/>
          <w:szCs w:val="22"/>
        </w:rPr>
        <w:t>in order to</w:t>
      </w:r>
      <w:proofErr w:type="gramEnd"/>
      <w:r w:rsidRPr="003B22C4">
        <w:rPr>
          <w:rFonts w:ascii="Arial" w:hAnsi="Arial"/>
          <w:b w:val="0"/>
          <w:sz w:val="22"/>
          <w:szCs w:val="22"/>
        </w:rPr>
        <w:t xml:space="preserve"> offer a wide variety of experiences to pupils. All requests for voluntary</w:t>
      </w:r>
      <w:r w:rsidR="004B4905" w:rsidRPr="003B22C4">
        <w:rPr>
          <w:rFonts w:ascii="Arial" w:hAnsi="Arial"/>
          <w:b w:val="0"/>
          <w:sz w:val="22"/>
          <w:szCs w:val="22"/>
        </w:rPr>
        <w:t xml:space="preserve"> </w:t>
      </w:r>
      <w:r w:rsidRPr="003B22C4">
        <w:rPr>
          <w:rFonts w:ascii="Arial" w:hAnsi="Arial"/>
          <w:b w:val="0"/>
          <w:sz w:val="22"/>
          <w:szCs w:val="22"/>
        </w:rPr>
        <w:t>contributions will emphasise their voluntary nature and the fact that pupils of parents who do not make such contributions will be treated no differently from those who have.</w:t>
      </w:r>
    </w:p>
    <w:p w14:paraId="61210B83" w14:textId="77777777" w:rsidR="004B4905" w:rsidRPr="003B22C4" w:rsidRDefault="004B4905" w:rsidP="004873E9">
      <w:pPr>
        <w:pStyle w:val="aLCPSubhead"/>
        <w:ind w:hanging="567"/>
        <w:rPr>
          <w:rFonts w:ascii="Arial" w:hAnsi="Arial"/>
          <w:b w:val="0"/>
          <w:sz w:val="22"/>
          <w:szCs w:val="22"/>
        </w:rPr>
      </w:pPr>
    </w:p>
    <w:p w14:paraId="4BC378C8"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When organising school trips or visits which enrich the curriculum and educational experience of the children, the school invites parents to contribute to the cost of the trip.  All contributions are voluntary.</w:t>
      </w:r>
      <w:r w:rsidR="004B4905" w:rsidRPr="003B22C4">
        <w:rPr>
          <w:rFonts w:ascii="Arial" w:hAnsi="Arial"/>
          <w:b w:val="0"/>
          <w:sz w:val="22"/>
          <w:szCs w:val="22"/>
        </w:rPr>
        <w:t xml:space="preserve"> </w:t>
      </w:r>
      <w:r w:rsidRPr="003B22C4">
        <w:rPr>
          <w:rFonts w:ascii="Arial" w:hAnsi="Arial"/>
          <w:b w:val="0"/>
          <w:sz w:val="22"/>
          <w:szCs w:val="22"/>
        </w:rPr>
        <w:t>This statement is always included in letters to parent</w:t>
      </w:r>
      <w:r w:rsidR="004B4905" w:rsidRPr="003B22C4">
        <w:rPr>
          <w:rFonts w:ascii="Arial" w:hAnsi="Arial"/>
          <w:b w:val="0"/>
          <w:sz w:val="22"/>
          <w:szCs w:val="22"/>
        </w:rPr>
        <w:t>s</w:t>
      </w:r>
      <w:r w:rsidRPr="003B22C4">
        <w:rPr>
          <w:rFonts w:ascii="Arial" w:hAnsi="Arial"/>
          <w:b w:val="0"/>
          <w:sz w:val="22"/>
          <w:szCs w:val="22"/>
        </w:rPr>
        <w:t>.  If we do not receive sufficient ‘voluntary contrib</w:t>
      </w:r>
      <w:r w:rsidR="004B4905" w:rsidRPr="003B22C4">
        <w:rPr>
          <w:rFonts w:ascii="Arial" w:hAnsi="Arial"/>
          <w:b w:val="0"/>
          <w:sz w:val="22"/>
          <w:szCs w:val="22"/>
        </w:rPr>
        <w:t xml:space="preserve">utions’, we may cancel a trip. </w:t>
      </w:r>
      <w:r w:rsidRPr="003B22C4">
        <w:rPr>
          <w:rFonts w:ascii="Arial" w:hAnsi="Arial"/>
          <w:b w:val="0"/>
          <w:sz w:val="22"/>
          <w:szCs w:val="22"/>
        </w:rPr>
        <w:t>If a trip goes ahead, it may include children whose parents h</w:t>
      </w:r>
      <w:r w:rsidR="004B4905" w:rsidRPr="003B22C4">
        <w:rPr>
          <w:rFonts w:ascii="Arial" w:hAnsi="Arial"/>
          <w:b w:val="0"/>
          <w:sz w:val="22"/>
          <w:szCs w:val="22"/>
        </w:rPr>
        <w:t xml:space="preserve">ave not paid any contribution. </w:t>
      </w:r>
      <w:r w:rsidRPr="003B22C4">
        <w:rPr>
          <w:rFonts w:ascii="Arial" w:hAnsi="Arial"/>
          <w:b w:val="0"/>
          <w:sz w:val="22"/>
          <w:szCs w:val="22"/>
        </w:rPr>
        <w:t>We do not treat these children differently from any others.</w:t>
      </w:r>
    </w:p>
    <w:p w14:paraId="24FD627B" w14:textId="77777777" w:rsidR="004B4905" w:rsidRPr="003B22C4" w:rsidRDefault="004B4905" w:rsidP="004873E9">
      <w:pPr>
        <w:pStyle w:val="aLCPSubhead"/>
        <w:ind w:hanging="567"/>
        <w:rPr>
          <w:rFonts w:ascii="Arial" w:hAnsi="Arial"/>
          <w:b w:val="0"/>
          <w:sz w:val="22"/>
          <w:szCs w:val="22"/>
        </w:rPr>
      </w:pPr>
    </w:p>
    <w:p w14:paraId="27B7C9A6"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Sometimes the school pays additional costs </w:t>
      </w:r>
      <w:proofErr w:type="gramStart"/>
      <w:r w:rsidRPr="003B22C4">
        <w:rPr>
          <w:rFonts w:ascii="Arial" w:hAnsi="Arial"/>
          <w:b w:val="0"/>
          <w:sz w:val="22"/>
          <w:szCs w:val="22"/>
        </w:rPr>
        <w:t>in order to</w:t>
      </w:r>
      <w:proofErr w:type="gramEnd"/>
      <w:r w:rsidRPr="003B22C4">
        <w:rPr>
          <w:rFonts w:ascii="Arial" w:hAnsi="Arial"/>
          <w:b w:val="0"/>
          <w:sz w:val="22"/>
          <w:szCs w:val="22"/>
        </w:rPr>
        <w:t xml:space="preserve"> support the visit usually using School Fund or contributions from PTFA, and funds provided by Pupil Premium to subsidise costs if needed for eligible pupils.</w:t>
      </w:r>
    </w:p>
    <w:p w14:paraId="50BFAB49" w14:textId="77777777" w:rsidR="004B4905" w:rsidRPr="003B22C4" w:rsidRDefault="004B4905" w:rsidP="004873E9">
      <w:pPr>
        <w:pStyle w:val="aLCPSubhead"/>
        <w:ind w:hanging="567"/>
        <w:rPr>
          <w:rFonts w:ascii="Arial" w:hAnsi="Arial"/>
          <w:b w:val="0"/>
          <w:sz w:val="22"/>
          <w:szCs w:val="22"/>
        </w:rPr>
      </w:pPr>
    </w:p>
    <w:p w14:paraId="641B0262" w14:textId="77777777" w:rsidR="00F4195D"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The following is a list of </w:t>
      </w:r>
      <w:r w:rsidR="004B4905" w:rsidRPr="003B22C4">
        <w:rPr>
          <w:rFonts w:ascii="Arial" w:hAnsi="Arial"/>
          <w:b w:val="0"/>
          <w:sz w:val="22"/>
          <w:szCs w:val="22"/>
        </w:rPr>
        <w:t xml:space="preserve">typical </w:t>
      </w:r>
      <w:r w:rsidRPr="003B22C4">
        <w:rPr>
          <w:rFonts w:ascii="Arial" w:hAnsi="Arial"/>
          <w:b w:val="0"/>
          <w:sz w:val="22"/>
          <w:szCs w:val="22"/>
        </w:rPr>
        <w:t>additional activities organ</w:t>
      </w:r>
      <w:r w:rsidR="004B4905" w:rsidRPr="003B22C4">
        <w:rPr>
          <w:rFonts w:ascii="Arial" w:hAnsi="Arial"/>
          <w:b w:val="0"/>
          <w:sz w:val="22"/>
          <w:szCs w:val="22"/>
        </w:rPr>
        <w:t>ised by the s</w:t>
      </w:r>
      <w:r w:rsidRPr="003B22C4">
        <w:rPr>
          <w:rFonts w:ascii="Arial" w:hAnsi="Arial"/>
          <w:b w:val="0"/>
          <w:sz w:val="22"/>
          <w:szCs w:val="22"/>
        </w:rPr>
        <w:t>chool, which require volunta</w:t>
      </w:r>
      <w:r w:rsidR="004B4905" w:rsidRPr="003B22C4">
        <w:rPr>
          <w:rFonts w:ascii="Arial" w:hAnsi="Arial"/>
          <w:b w:val="0"/>
          <w:sz w:val="22"/>
          <w:szCs w:val="22"/>
        </w:rPr>
        <w:t xml:space="preserve">ry contributions from parents. This is not an </w:t>
      </w:r>
      <w:r w:rsidRPr="003B22C4">
        <w:rPr>
          <w:rFonts w:ascii="Arial" w:hAnsi="Arial"/>
          <w:b w:val="0"/>
          <w:sz w:val="22"/>
          <w:szCs w:val="22"/>
        </w:rPr>
        <w:t>exhaustive</w:t>
      </w:r>
      <w:r w:rsidR="004B4905" w:rsidRPr="003B22C4">
        <w:rPr>
          <w:rFonts w:ascii="Arial" w:hAnsi="Arial"/>
          <w:b w:val="0"/>
          <w:sz w:val="22"/>
          <w:szCs w:val="22"/>
        </w:rPr>
        <w:t xml:space="preserve"> list</w:t>
      </w:r>
      <w:r w:rsidRPr="003B22C4">
        <w:rPr>
          <w:rFonts w:ascii="Arial" w:hAnsi="Arial"/>
          <w:b w:val="0"/>
          <w:sz w:val="22"/>
          <w:szCs w:val="22"/>
        </w:rPr>
        <w:t xml:space="preserve">: </w:t>
      </w:r>
    </w:p>
    <w:p w14:paraId="7B3754E5"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visits to museums</w:t>
      </w:r>
    </w:p>
    <w:p w14:paraId="14C0D998"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educational school trips linked to curriculum</w:t>
      </w:r>
    </w:p>
    <w:p w14:paraId="45684E32"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sporting activities which require t</w:t>
      </w:r>
      <w:r w:rsidR="004B4905" w:rsidRPr="003B22C4">
        <w:rPr>
          <w:rFonts w:ascii="Arial" w:hAnsi="Arial"/>
          <w:b w:val="0"/>
          <w:sz w:val="22"/>
          <w:szCs w:val="22"/>
        </w:rPr>
        <w:t>ransport expenses</w:t>
      </w:r>
    </w:p>
    <w:p w14:paraId="4D8CB3EC"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outdoor adventure activities</w:t>
      </w:r>
    </w:p>
    <w:p w14:paraId="29DF43D2" w14:textId="77777777" w:rsidR="00F4195D" w:rsidRPr="003B22C4" w:rsidRDefault="004B4905" w:rsidP="004873E9">
      <w:pPr>
        <w:pStyle w:val="aLCPSubhead"/>
        <w:numPr>
          <w:ilvl w:val="0"/>
          <w:numId w:val="6"/>
        </w:numPr>
        <w:rPr>
          <w:rFonts w:ascii="Arial" w:hAnsi="Arial"/>
          <w:b w:val="0"/>
          <w:sz w:val="22"/>
          <w:szCs w:val="22"/>
        </w:rPr>
      </w:pPr>
      <w:r w:rsidRPr="003B22C4">
        <w:rPr>
          <w:rFonts w:ascii="Arial" w:hAnsi="Arial"/>
          <w:b w:val="0"/>
          <w:sz w:val="22"/>
          <w:szCs w:val="22"/>
        </w:rPr>
        <w:t>visits to the theatre</w:t>
      </w:r>
    </w:p>
    <w:p w14:paraId="75399605" w14:textId="77777777" w:rsidR="00F4195D" w:rsidRPr="003B22C4" w:rsidRDefault="00F4195D" w:rsidP="004873E9">
      <w:pPr>
        <w:pStyle w:val="aLCPSubhead"/>
        <w:numPr>
          <w:ilvl w:val="0"/>
          <w:numId w:val="6"/>
        </w:numPr>
        <w:rPr>
          <w:rFonts w:ascii="Arial" w:hAnsi="Arial"/>
          <w:b w:val="0"/>
          <w:sz w:val="22"/>
          <w:szCs w:val="22"/>
        </w:rPr>
      </w:pPr>
      <w:r w:rsidRPr="003B22C4">
        <w:rPr>
          <w:rFonts w:ascii="Arial" w:hAnsi="Arial"/>
          <w:b w:val="0"/>
          <w:sz w:val="22"/>
          <w:szCs w:val="22"/>
        </w:rPr>
        <w:t>m</w:t>
      </w:r>
      <w:r w:rsidR="004B4905" w:rsidRPr="003B22C4">
        <w:rPr>
          <w:rFonts w:ascii="Arial" w:hAnsi="Arial"/>
          <w:b w:val="0"/>
          <w:sz w:val="22"/>
          <w:szCs w:val="22"/>
        </w:rPr>
        <w:t>usical events</w:t>
      </w:r>
    </w:p>
    <w:p w14:paraId="3D3D29A4" w14:textId="77777777" w:rsidR="00F4195D" w:rsidRPr="003B22C4" w:rsidRDefault="00F4195D" w:rsidP="004873E9">
      <w:pPr>
        <w:pStyle w:val="aLCPSubhead"/>
        <w:ind w:hanging="567"/>
        <w:rPr>
          <w:rFonts w:ascii="Arial" w:hAnsi="Arial"/>
          <w:b w:val="0"/>
          <w:sz w:val="22"/>
          <w:szCs w:val="22"/>
        </w:rPr>
      </w:pPr>
      <w:r w:rsidRPr="003B22C4">
        <w:rPr>
          <w:rFonts w:ascii="Arial" w:hAnsi="Arial"/>
          <w:b w:val="0"/>
          <w:sz w:val="22"/>
          <w:szCs w:val="22"/>
        </w:rPr>
        <w:tab/>
      </w:r>
    </w:p>
    <w:p w14:paraId="6E733ABD"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Headteacher will have discretion to pay from the budget of Barrow CE School to assist in the whole or in part any student whose means would not enable them to pay for a particular activity for which charging is permitted.</w:t>
      </w:r>
    </w:p>
    <w:p w14:paraId="55A14D69" w14:textId="77777777" w:rsidR="004B4905" w:rsidRPr="003B22C4" w:rsidRDefault="004B4905" w:rsidP="004873E9">
      <w:pPr>
        <w:pStyle w:val="aLCPSubhead"/>
        <w:ind w:hanging="567"/>
        <w:rPr>
          <w:rFonts w:ascii="Arial" w:hAnsi="Arial"/>
          <w:b w:val="0"/>
          <w:sz w:val="22"/>
          <w:szCs w:val="22"/>
        </w:rPr>
      </w:pPr>
    </w:p>
    <w:p w14:paraId="28238C96"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Residential Trips</w:t>
      </w:r>
    </w:p>
    <w:p w14:paraId="76D52F5B" w14:textId="77777777" w:rsidR="004B4905" w:rsidRPr="003B22C4" w:rsidRDefault="004B4905" w:rsidP="004873E9">
      <w:pPr>
        <w:pStyle w:val="aLCPSubhead"/>
        <w:ind w:hanging="567"/>
        <w:rPr>
          <w:rFonts w:ascii="Arial" w:hAnsi="Arial"/>
          <w:b w:val="0"/>
          <w:sz w:val="22"/>
          <w:szCs w:val="22"/>
        </w:rPr>
      </w:pPr>
    </w:p>
    <w:p w14:paraId="6B86A03B" w14:textId="77777777" w:rsidR="004B4905" w:rsidRPr="003B22C4" w:rsidRDefault="00F4195D" w:rsidP="004873E9">
      <w:pPr>
        <w:pStyle w:val="aLCPSubhead"/>
        <w:numPr>
          <w:ilvl w:val="0"/>
          <w:numId w:val="2"/>
        </w:numPr>
        <w:ind w:left="567" w:hanging="567"/>
        <w:rPr>
          <w:rFonts w:ascii="Arial" w:hAnsi="Arial"/>
          <w:b w:val="0"/>
          <w:sz w:val="22"/>
          <w:szCs w:val="22"/>
        </w:rPr>
      </w:pPr>
      <w:r w:rsidRPr="00033AD0">
        <w:rPr>
          <w:rFonts w:ascii="Arial" w:hAnsi="Arial"/>
          <w:b w:val="0"/>
          <w:sz w:val="22"/>
          <w:szCs w:val="22"/>
          <w:highlight w:val="green"/>
        </w:rPr>
        <w:t>All residential trips are individually approved by governors</w:t>
      </w:r>
      <w:r w:rsidRPr="003B22C4">
        <w:rPr>
          <w:rFonts w:ascii="Arial" w:hAnsi="Arial"/>
          <w:b w:val="0"/>
          <w:sz w:val="22"/>
          <w:szCs w:val="22"/>
        </w:rPr>
        <w:t xml:space="preserve">.  The school accesses grants or donations </w:t>
      </w:r>
      <w:proofErr w:type="gramStart"/>
      <w:r w:rsidRPr="003B22C4">
        <w:rPr>
          <w:rFonts w:ascii="Arial" w:hAnsi="Arial"/>
          <w:b w:val="0"/>
          <w:sz w:val="22"/>
          <w:szCs w:val="22"/>
        </w:rPr>
        <w:t>in order to</w:t>
      </w:r>
      <w:proofErr w:type="gramEnd"/>
      <w:r w:rsidRPr="003B22C4">
        <w:rPr>
          <w:rFonts w:ascii="Arial" w:hAnsi="Arial"/>
          <w:b w:val="0"/>
          <w:sz w:val="22"/>
          <w:szCs w:val="22"/>
        </w:rPr>
        <w:t xml:space="preserve"> subsidise the cost of such trips.  All families are offered the opportunity to pay for trips in instalments over as long </w:t>
      </w:r>
      <w:proofErr w:type="gramStart"/>
      <w:r w:rsidRPr="003B22C4">
        <w:rPr>
          <w:rFonts w:ascii="Arial" w:hAnsi="Arial"/>
          <w:b w:val="0"/>
          <w:sz w:val="22"/>
          <w:szCs w:val="22"/>
        </w:rPr>
        <w:t>a period of time</w:t>
      </w:r>
      <w:proofErr w:type="gramEnd"/>
      <w:r w:rsidRPr="003B22C4">
        <w:rPr>
          <w:rFonts w:ascii="Arial" w:hAnsi="Arial"/>
          <w:b w:val="0"/>
          <w:sz w:val="22"/>
          <w:szCs w:val="22"/>
        </w:rPr>
        <w:t xml:space="preserve"> as possible, up to 6 months, and families are made aware that they may approach the school in confidence if they have concerns regarding payment</w:t>
      </w:r>
      <w:r w:rsidR="004B4905" w:rsidRPr="003B22C4">
        <w:rPr>
          <w:rFonts w:ascii="Arial" w:hAnsi="Arial"/>
          <w:b w:val="0"/>
          <w:sz w:val="22"/>
          <w:szCs w:val="22"/>
        </w:rPr>
        <w:t>.</w:t>
      </w:r>
    </w:p>
    <w:p w14:paraId="26BDE01C" w14:textId="77777777" w:rsidR="004B4905" w:rsidRPr="003B22C4" w:rsidRDefault="004B4905" w:rsidP="004873E9">
      <w:pPr>
        <w:pStyle w:val="aLCPSubhead"/>
        <w:ind w:hanging="567"/>
        <w:rPr>
          <w:rFonts w:ascii="Arial" w:hAnsi="Arial"/>
          <w:b w:val="0"/>
          <w:sz w:val="22"/>
          <w:szCs w:val="22"/>
        </w:rPr>
      </w:pPr>
    </w:p>
    <w:p w14:paraId="5D4B6292"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Music tuition</w:t>
      </w:r>
    </w:p>
    <w:p w14:paraId="3011510F" w14:textId="77777777" w:rsidR="004B4905" w:rsidRPr="003B22C4" w:rsidRDefault="004B4905" w:rsidP="004873E9">
      <w:pPr>
        <w:pStyle w:val="aLCPSubhead"/>
        <w:ind w:hanging="567"/>
        <w:rPr>
          <w:rFonts w:ascii="Arial" w:hAnsi="Arial"/>
          <w:b w:val="0"/>
          <w:sz w:val="22"/>
          <w:szCs w:val="22"/>
        </w:rPr>
      </w:pPr>
    </w:p>
    <w:p w14:paraId="235F7402" w14:textId="77777777" w:rsidR="004B4905"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All children study music as part of the normal school curriculum.  We do not charge for this.  There is a charge for individual or group music tuition if this is not part of the National Curriculum.  The peripatetic music tutors teach individual or small group lessons and make a charge privately </w:t>
      </w:r>
      <w:r w:rsidR="004B4905" w:rsidRPr="003B22C4">
        <w:rPr>
          <w:rFonts w:ascii="Arial" w:hAnsi="Arial"/>
          <w:b w:val="0"/>
          <w:sz w:val="22"/>
          <w:szCs w:val="22"/>
        </w:rPr>
        <w:t>for these lessons.</w:t>
      </w:r>
    </w:p>
    <w:p w14:paraId="1FF2361D" w14:textId="77777777" w:rsidR="004B4905" w:rsidRPr="003B22C4" w:rsidRDefault="004B4905" w:rsidP="004873E9">
      <w:pPr>
        <w:pStyle w:val="aLCPSubhead"/>
        <w:ind w:hanging="567"/>
        <w:rPr>
          <w:rFonts w:ascii="Arial" w:hAnsi="Arial"/>
          <w:b w:val="0"/>
          <w:sz w:val="22"/>
          <w:szCs w:val="22"/>
        </w:rPr>
      </w:pPr>
    </w:p>
    <w:p w14:paraId="2A12B1A8" w14:textId="77777777" w:rsidR="004B4905" w:rsidRPr="003B22C4" w:rsidRDefault="00F4195D" w:rsidP="004873E9">
      <w:pPr>
        <w:pStyle w:val="aLCPSubhead"/>
        <w:rPr>
          <w:rFonts w:ascii="Arial" w:hAnsi="Arial"/>
          <w:b w:val="0"/>
          <w:sz w:val="22"/>
          <w:szCs w:val="22"/>
        </w:rPr>
      </w:pPr>
      <w:r w:rsidRPr="003B22C4">
        <w:rPr>
          <w:rFonts w:ascii="Arial" w:hAnsi="Arial"/>
          <w:b w:val="0"/>
          <w:sz w:val="22"/>
          <w:szCs w:val="22"/>
        </w:rPr>
        <w:t xml:space="preserve">Swimming </w:t>
      </w:r>
    </w:p>
    <w:p w14:paraId="2A363992" w14:textId="77777777" w:rsidR="004B4905" w:rsidRPr="003B22C4" w:rsidRDefault="004B4905" w:rsidP="004873E9">
      <w:pPr>
        <w:pStyle w:val="aLCPSubhead"/>
        <w:ind w:hanging="567"/>
        <w:rPr>
          <w:rFonts w:ascii="Arial" w:hAnsi="Arial"/>
          <w:b w:val="0"/>
          <w:sz w:val="22"/>
          <w:szCs w:val="22"/>
        </w:rPr>
      </w:pPr>
    </w:p>
    <w:p w14:paraId="7D4B7113"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The </w:t>
      </w:r>
      <w:proofErr w:type="gramStart"/>
      <w:r w:rsidRPr="003B22C4">
        <w:rPr>
          <w:rFonts w:ascii="Arial" w:hAnsi="Arial"/>
          <w:b w:val="0"/>
          <w:sz w:val="22"/>
          <w:szCs w:val="22"/>
        </w:rPr>
        <w:t>School</w:t>
      </w:r>
      <w:proofErr w:type="gramEnd"/>
      <w:r w:rsidRPr="003B22C4">
        <w:rPr>
          <w:rFonts w:ascii="Arial" w:hAnsi="Arial"/>
          <w:b w:val="0"/>
          <w:sz w:val="22"/>
          <w:szCs w:val="22"/>
        </w:rPr>
        <w:t xml:space="preserve"> organises swimming lessons fo</w:t>
      </w:r>
      <w:r w:rsidR="004873E9">
        <w:rPr>
          <w:rFonts w:ascii="Arial" w:hAnsi="Arial"/>
          <w:b w:val="0"/>
          <w:sz w:val="22"/>
          <w:szCs w:val="22"/>
        </w:rPr>
        <w:t xml:space="preserve">r all children in Key Stage 2. </w:t>
      </w:r>
      <w:r w:rsidRPr="003B22C4">
        <w:rPr>
          <w:rFonts w:ascii="Arial" w:hAnsi="Arial"/>
          <w:b w:val="0"/>
          <w:sz w:val="22"/>
          <w:szCs w:val="22"/>
        </w:rPr>
        <w:t>They take place at Christleton High School in school time. We do not ask parents for a voluntary contribution towards the cost of transport in order that they can take place.  School pays for the cost of the teaching provided by an external teacher.</w:t>
      </w:r>
    </w:p>
    <w:p w14:paraId="523DDA57" w14:textId="77777777" w:rsidR="003B22C4" w:rsidRPr="003B22C4" w:rsidRDefault="003B22C4" w:rsidP="004873E9">
      <w:pPr>
        <w:pStyle w:val="aLCPSubhead"/>
        <w:ind w:hanging="567"/>
        <w:rPr>
          <w:rFonts w:ascii="Arial" w:hAnsi="Arial"/>
          <w:b w:val="0"/>
          <w:sz w:val="22"/>
          <w:szCs w:val="22"/>
        </w:rPr>
      </w:pPr>
    </w:p>
    <w:p w14:paraId="29EE1FF0"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Activities outside the National Curriculum</w:t>
      </w:r>
    </w:p>
    <w:p w14:paraId="2F4BF5FB" w14:textId="77777777" w:rsidR="003B22C4" w:rsidRPr="003B22C4" w:rsidRDefault="003B22C4" w:rsidP="004873E9">
      <w:pPr>
        <w:pStyle w:val="aLCPSubhead"/>
        <w:ind w:hanging="567"/>
        <w:rPr>
          <w:rFonts w:ascii="Arial" w:hAnsi="Arial"/>
          <w:b w:val="0"/>
          <w:sz w:val="22"/>
          <w:szCs w:val="22"/>
        </w:rPr>
      </w:pPr>
    </w:p>
    <w:p w14:paraId="10287614"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Activities lying outside of the National Curriculum, and taking place outside school </w:t>
      </w:r>
      <w:r w:rsidR="003B22C4" w:rsidRPr="003B22C4">
        <w:rPr>
          <w:rFonts w:ascii="Arial" w:hAnsi="Arial"/>
          <w:b w:val="0"/>
          <w:sz w:val="22"/>
          <w:szCs w:val="22"/>
        </w:rPr>
        <w:t>time, will be charged in full.</w:t>
      </w:r>
    </w:p>
    <w:p w14:paraId="7B469336" w14:textId="77777777" w:rsidR="003B22C4" w:rsidRPr="003B22C4" w:rsidRDefault="003B22C4" w:rsidP="004873E9">
      <w:pPr>
        <w:pStyle w:val="aLCPSubhead"/>
        <w:ind w:hanging="567"/>
        <w:rPr>
          <w:rFonts w:ascii="Arial" w:hAnsi="Arial"/>
          <w:b w:val="0"/>
          <w:sz w:val="22"/>
          <w:szCs w:val="22"/>
        </w:rPr>
      </w:pPr>
    </w:p>
    <w:p w14:paraId="5D8A766D"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General</w:t>
      </w:r>
    </w:p>
    <w:p w14:paraId="23EE1E86" w14:textId="77777777" w:rsidR="003B22C4" w:rsidRPr="003B22C4" w:rsidRDefault="003B22C4" w:rsidP="004873E9">
      <w:pPr>
        <w:pStyle w:val="aLCPSubhead"/>
        <w:ind w:hanging="567"/>
        <w:rPr>
          <w:rFonts w:ascii="Arial" w:hAnsi="Arial"/>
          <w:b w:val="0"/>
          <w:sz w:val="22"/>
          <w:szCs w:val="22"/>
        </w:rPr>
      </w:pPr>
    </w:p>
    <w:p w14:paraId="0115B5E1"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All charges will be reviewed annually and revised in line with appropriate inflation factors. Where appropriate VAT will be charged and properly accounted for in accordance with the appropriate VAT regulations. </w:t>
      </w:r>
    </w:p>
    <w:p w14:paraId="38EF18E2" w14:textId="77777777" w:rsidR="003B22C4" w:rsidRPr="003B22C4" w:rsidRDefault="003B22C4" w:rsidP="004873E9">
      <w:pPr>
        <w:pStyle w:val="aLCPSubhead"/>
        <w:ind w:hanging="567"/>
        <w:rPr>
          <w:rFonts w:ascii="Arial" w:hAnsi="Arial"/>
          <w:b w:val="0"/>
          <w:sz w:val="22"/>
          <w:szCs w:val="22"/>
        </w:rPr>
      </w:pPr>
    </w:p>
    <w:p w14:paraId="479A6D05"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The school may require parents to pay for damage to or loss of school property for which their children are responsible where reimbursement is appropriate.  This will be at the </w:t>
      </w:r>
      <w:r w:rsidR="003B22C4" w:rsidRPr="003B22C4">
        <w:rPr>
          <w:rFonts w:ascii="Arial" w:hAnsi="Arial"/>
          <w:b w:val="0"/>
          <w:sz w:val="22"/>
          <w:szCs w:val="22"/>
        </w:rPr>
        <w:t>Headt</w:t>
      </w:r>
      <w:r w:rsidRPr="003B22C4">
        <w:rPr>
          <w:rFonts w:ascii="Arial" w:hAnsi="Arial"/>
          <w:b w:val="0"/>
          <w:sz w:val="22"/>
          <w:szCs w:val="22"/>
        </w:rPr>
        <w:t>eacher’s discretion.</w:t>
      </w:r>
    </w:p>
    <w:p w14:paraId="0A5532BC" w14:textId="77777777" w:rsidR="003B22C4" w:rsidRPr="003B22C4" w:rsidRDefault="003B22C4" w:rsidP="004873E9">
      <w:pPr>
        <w:pStyle w:val="aLCPSubhead"/>
        <w:ind w:hanging="567"/>
        <w:rPr>
          <w:rFonts w:ascii="Arial" w:hAnsi="Arial"/>
          <w:b w:val="0"/>
          <w:sz w:val="22"/>
          <w:szCs w:val="22"/>
        </w:rPr>
      </w:pPr>
    </w:p>
    <w:p w14:paraId="01880894" w14:textId="77777777" w:rsidR="003B22C4" w:rsidRPr="003B22C4" w:rsidRDefault="00F4195D" w:rsidP="004873E9">
      <w:pPr>
        <w:pStyle w:val="aLCPSubhead"/>
        <w:rPr>
          <w:rFonts w:ascii="Arial" w:hAnsi="Arial"/>
          <w:b w:val="0"/>
          <w:sz w:val="22"/>
          <w:szCs w:val="22"/>
        </w:rPr>
      </w:pPr>
      <w:r w:rsidRPr="003B22C4">
        <w:rPr>
          <w:rFonts w:ascii="Arial" w:hAnsi="Arial"/>
          <w:b w:val="0"/>
          <w:sz w:val="22"/>
          <w:szCs w:val="22"/>
        </w:rPr>
        <w:t>School Lunches</w:t>
      </w:r>
    </w:p>
    <w:p w14:paraId="5ABDC4AB" w14:textId="77777777" w:rsidR="003B22C4" w:rsidRPr="003B22C4" w:rsidRDefault="003B22C4" w:rsidP="004873E9">
      <w:pPr>
        <w:pStyle w:val="aLCPSubhead"/>
        <w:ind w:hanging="567"/>
        <w:rPr>
          <w:rFonts w:ascii="Arial" w:hAnsi="Arial"/>
          <w:b w:val="0"/>
          <w:sz w:val="22"/>
          <w:szCs w:val="22"/>
        </w:rPr>
      </w:pPr>
    </w:p>
    <w:p w14:paraId="3D2EC916"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 xml:space="preserve">School lunches are provided for the children by </w:t>
      </w:r>
      <w:r w:rsidR="003B22C4" w:rsidRPr="003B22C4">
        <w:rPr>
          <w:rFonts w:ascii="Arial" w:hAnsi="Arial"/>
          <w:b w:val="0"/>
          <w:sz w:val="22"/>
          <w:szCs w:val="22"/>
        </w:rPr>
        <w:t xml:space="preserve">Cheshire West &amp; Chester local authority’s </w:t>
      </w:r>
      <w:proofErr w:type="spellStart"/>
      <w:r w:rsidR="003B22C4" w:rsidRPr="003B22C4">
        <w:rPr>
          <w:rFonts w:ascii="Arial" w:hAnsi="Arial"/>
          <w:b w:val="0"/>
          <w:sz w:val="22"/>
          <w:szCs w:val="22"/>
        </w:rPr>
        <w:t>Edsential</w:t>
      </w:r>
      <w:proofErr w:type="spellEnd"/>
      <w:r w:rsidR="003B22C4" w:rsidRPr="003B22C4">
        <w:rPr>
          <w:rFonts w:ascii="Arial" w:hAnsi="Arial"/>
          <w:b w:val="0"/>
          <w:sz w:val="22"/>
          <w:szCs w:val="22"/>
        </w:rPr>
        <w:t xml:space="preserve"> catering. P</w:t>
      </w:r>
      <w:r w:rsidRPr="003B22C4">
        <w:rPr>
          <w:rFonts w:ascii="Arial" w:hAnsi="Arial"/>
          <w:b w:val="0"/>
          <w:sz w:val="22"/>
          <w:szCs w:val="22"/>
        </w:rPr>
        <w:t>ayment for lunches is</w:t>
      </w:r>
      <w:r w:rsidR="003B22C4" w:rsidRPr="003B22C4">
        <w:rPr>
          <w:rFonts w:ascii="Arial" w:hAnsi="Arial"/>
          <w:b w:val="0"/>
          <w:sz w:val="22"/>
          <w:szCs w:val="22"/>
        </w:rPr>
        <w:t xml:space="preserve"> administered by the school. </w:t>
      </w:r>
      <w:r w:rsidRPr="003B22C4">
        <w:rPr>
          <w:rFonts w:ascii="Arial" w:hAnsi="Arial"/>
          <w:b w:val="0"/>
          <w:sz w:val="22"/>
          <w:szCs w:val="22"/>
        </w:rPr>
        <w:t>Charges for school meals follow the requirements of the Local Authority. Parents pay weekly.</w:t>
      </w:r>
      <w:r w:rsidR="003B22C4" w:rsidRPr="003B22C4">
        <w:rPr>
          <w:rFonts w:ascii="Arial" w:hAnsi="Arial"/>
          <w:b w:val="0"/>
          <w:sz w:val="22"/>
          <w:szCs w:val="22"/>
        </w:rPr>
        <w:t xml:space="preserve"> </w:t>
      </w:r>
    </w:p>
    <w:p w14:paraId="46E524B0" w14:textId="77777777" w:rsidR="003B22C4" w:rsidRPr="003B22C4" w:rsidRDefault="003B22C4" w:rsidP="004873E9">
      <w:pPr>
        <w:pStyle w:val="aLCPSubhead"/>
        <w:ind w:hanging="567"/>
        <w:rPr>
          <w:rFonts w:ascii="Arial" w:hAnsi="Arial"/>
          <w:b w:val="0"/>
          <w:sz w:val="22"/>
          <w:szCs w:val="22"/>
        </w:rPr>
      </w:pPr>
    </w:p>
    <w:p w14:paraId="5FBD49A7"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When arrears occur then the school informs parents by letter of the amount owing and a req</w:t>
      </w:r>
      <w:r w:rsidR="003B22C4" w:rsidRPr="003B22C4">
        <w:rPr>
          <w:rFonts w:ascii="Arial" w:hAnsi="Arial"/>
          <w:b w:val="0"/>
          <w:sz w:val="22"/>
          <w:szCs w:val="22"/>
        </w:rPr>
        <w:t xml:space="preserve">uest that this should be paid. </w:t>
      </w:r>
      <w:r w:rsidRPr="003B22C4">
        <w:rPr>
          <w:rFonts w:ascii="Arial" w:hAnsi="Arial"/>
          <w:b w:val="0"/>
          <w:sz w:val="22"/>
          <w:szCs w:val="22"/>
        </w:rPr>
        <w:t xml:space="preserve">The school will always take reasonable steps to settle the matter with a family </w:t>
      </w:r>
      <w:r w:rsidR="003B22C4" w:rsidRPr="003B22C4">
        <w:rPr>
          <w:rFonts w:ascii="Arial" w:hAnsi="Arial"/>
          <w:b w:val="0"/>
          <w:sz w:val="22"/>
          <w:szCs w:val="22"/>
        </w:rPr>
        <w:t>as the well</w:t>
      </w:r>
      <w:r w:rsidRPr="003B22C4">
        <w:rPr>
          <w:rFonts w:ascii="Arial" w:hAnsi="Arial"/>
          <w:b w:val="0"/>
          <w:sz w:val="22"/>
          <w:szCs w:val="22"/>
        </w:rPr>
        <w:t xml:space="preserve">being of the child will be a priority.  In extreme circumstances the school reserves the right to no longer provide any further meals, to contact social services regarding a child’s welfare and to refer the matter to the LA legal department to issue a demand for payment. </w:t>
      </w:r>
    </w:p>
    <w:p w14:paraId="7BBF8413" w14:textId="77777777" w:rsidR="003B22C4" w:rsidRPr="003B22C4" w:rsidRDefault="003B22C4" w:rsidP="004873E9">
      <w:pPr>
        <w:pStyle w:val="aLCPSubhead"/>
        <w:ind w:hanging="567"/>
        <w:rPr>
          <w:rFonts w:ascii="Arial" w:hAnsi="Arial"/>
          <w:b w:val="0"/>
          <w:sz w:val="22"/>
          <w:szCs w:val="22"/>
        </w:rPr>
      </w:pPr>
    </w:p>
    <w:p w14:paraId="7D3AC921" w14:textId="77777777" w:rsidR="003B22C4" w:rsidRPr="003B22C4" w:rsidRDefault="004873E9" w:rsidP="004873E9">
      <w:pPr>
        <w:pStyle w:val="aLCPSubhead"/>
        <w:ind w:left="1440" w:hanging="873"/>
        <w:rPr>
          <w:rFonts w:ascii="Arial" w:hAnsi="Arial"/>
          <w:b w:val="0"/>
          <w:sz w:val="22"/>
          <w:szCs w:val="22"/>
        </w:rPr>
      </w:pPr>
      <w:r>
        <w:rPr>
          <w:rFonts w:ascii="Arial" w:hAnsi="Arial"/>
          <w:b w:val="0"/>
          <w:sz w:val="22"/>
          <w:szCs w:val="22"/>
        </w:rPr>
        <w:br w:type="page"/>
      </w:r>
      <w:r w:rsidR="00F4195D" w:rsidRPr="003B22C4">
        <w:rPr>
          <w:rFonts w:ascii="Arial" w:hAnsi="Arial"/>
          <w:b w:val="0"/>
          <w:sz w:val="22"/>
          <w:szCs w:val="22"/>
        </w:rPr>
        <w:lastRenderedPageBreak/>
        <w:t>Support for Parents on Low Incomes</w:t>
      </w:r>
    </w:p>
    <w:p w14:paraId="5342FD7C" w14:textId="77777777" w:rsidR="003B22C4" w:rsidRPr="003B22C4" w:rsidRDefault="003B22C4" w:rsidP="004873E9">
      <w:pPr>
        <w:pStyle w:val="aLCPSubhead"/>
        <w:ind w:hanging="567"/>
        <w:rPr>
          <w:rFonts w:ascii="Arial" w:hAnsi="Arial"/>
          <w:b w:val="0"/>
          <w:sz w:val="22"/>
          <w:szCs w:val="22"/>
        </w:rPr>
      </w:pPr>
    </w:p>
    <w:p w14:paraId="4C0359AF" w14:textId="77777777" w:rsidR="003B22C4" w:rsidRPr="003B22C4" w:rsidRDefault="00F4195D"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Barrow CE School will advise all parents of the a</w:t>
      </w:r>
      <w:r w:rsidR="003B22C4" w:rsidRPr="003B22C4">
        <w:rPr>
          <w:rFonts w:ascii="Arial" w:hAnsi="Arial"/>
          <w:b w:val="0"/>
          <w:sz w:val="22"/>
          <w:szCs w:val="22"/>
        </w:rPr>
        <w:t xml:space="preserve">ssistance they can </w:t>
      </w:r>
      <w:r w:rsidRPr="003B22C4">
        <w:rPr>
          <w:rFonts w:ascii="Arial" w:hAnsi="Arial"/>
          <w:b w:val="0"/>
          <w:sz w:val="22"/>
          <w:szCs w:val="22"/>
        </w:rPr>
        <w:t>expect if they are on low incomes.  When we inform parents about a forthcoming visit, we will make it clear that parents of</w:t>
      </w:r>
      <w:r w:rsidR="003B22C4" w:rsidRPr="003B22C4">
        <w:rPr>
          <w:rFonts w:ascii="Arial" w:hAnsi="Arial"/>
          <w:b w:val="0"/>
          <w:sz w:val="22"/>
          <w:szCs w:val="22"/>
        </w:rPr>
        <w:t xml:space="preserve"> children who are on FSM</w:t>
      </w:r>
      <w:r w:rsidRPr="003B22C4">
        <w:rPr>
          <w:rFonts w:ascii="Arial" w:hAnsi="Arial"/>
          <w:b w:val="0"/>
          <w:sz w:val="22"/>
          <w:szCs w:val="22"/>
        </w:rPr>
        <w:t xml:space="preserve"> will receive support towards the cost of board and lodging or the trip itself if it is not overnight.</w:t>
      </w:r>
    </w:p>
    <w:p w14:paraId="37946E09" w14:textId="77777777" w:rsidR="003B22C4" w:rsidRPr="003B22C4" w:rsidRDefault="003B22C4" w:rsidP="004873E9">
      <w:pPr>
        <w:pStyle w:val="aLCPSubhead"/>
        <w:ind w:hanging="567"/>
        <w:rPr>
          <w:rFonts w:ascii="Arial" w:hAnsi="Arial"/>
          <w:b w:val="0"/>
          <w:sz w:val="22"/>
          <w:szCs w:val="22"/>
        </w:rPr>
      </w:pPr>
    </w:p>
    <w:p w14:paraId="544E127B" w14:textId="77777777" w:rsidR="003B22C4" w:rsidRPr="003B22C4" w:rsidRDefault="00271510" w:rsidP="004873E9">
      <w:pPr>
        <w:pStyle w:val="aLCPSubhead"/>
        <w:rPr>
          <w:rFonts w:ascii="Arial" w:hAnsi="Arial"/>
          <w:b w:val="0"/>
          <w:sz w:val="22"/>
          <w:szCs w:val="22"/>
        </w:rPr>
      </w:pPr>
      <w:r w:rsidRPr="003B22C4">
        <w:rPr>
          <w:rFonts w:ascii="Arial" w:hAnsi="Arial"/>
          <w:b w:val="0"/>
          <w:sz w:val="22"/>
          <w:szCs w:val="22"/>
        </w:rPr>
        <w:t>Monitoring and review</w:t>
      </w:r>
    </w:p>
    <w:p w14:paraId="5227CFE6" w14:textId="77777777" w:rsidR="003B22C4" w:rsidRPr="003B22C4" w:rsidRDefault="003B22C4" w:rsidP="004873E9">
      <w:pPr>
        <w:pStyle w:val="aLCPSubhead"/>
        <w:ind w:hanging="567"/>
        <w:rPr>
          <w:rFonts w:ascii="Arial" w:hAnsi="Arial"/>
          <w:b w:val="0"/>
          <w:sz w:val="22"/>
          <w:szCs w:val="22"/>
        </w:rPr>
      </w:pPr>
    </w:p>
    <w:p w14:paraId="5C5F94E0" w14:textId="77777777" w:rsidR="00271510" w:rsidRPr="003B22C4" w:rsidRDefault="00F32037" w:rsidP="004873E9">
      <w:pPr>
        <w:pStyle w:val="aLCPSubhead"/>
        <w:numPr>
          <w:ilvl w:val="0"/>
          <w:numId w:val="2"/>
        </w:numPr>
        <w:ind w:left="567" w:hanging="567"/>
        <w:rPr>
          <w:rFonts w:ascii="Arial" w:hAnsi="Arial"/>
          <w:b w:val="0"/>
          <w:sz w:val="22"/>
          <w:szCs w:val="22"/>
        </w:rPr>
      </w:pPr>
      <w:r w:rsidRPr="003B22C4">
        <w:rPr>
          <w:rFonts w:ascii="Arial" w:hAnsi="Arial"/>
          <w:b w:val="0"/>
          <w:sz w:val="22"/>
          <w:szCs w:val="22"/>
        </w:rPr>
        <w:t>The headteacher monitors this policy on a regular basis and reports to governors, when requested, on the effectiveness of the policy</w:t>
      </w:r>
      <w:r w:rsidR="003B22C4" w:rsidRPr="003B22C4">
        <w:rPr>
          <w:rFonts w:ascii="Arial" w:hAnsi="Arial"/>
          <w:b w:val="0"/>
          <w:sz w:val="22"/>
          <w:szCs w:val="22"/>
        </w:rPr>
        <w:t xml:space="preserve">. </w:t>
      </w:r>
      <w:r w:rsidR="00271510" w:rsidRPr="003B22C4">
        <w:rPr>
          <w:rFonts w:ascii="Arial" w:hAnsi="Arial"/>
          <w:b w:val="0"/>
          <w:sz w:val="22"/>
          <w:szCs w:val="22"/>
        </w:rPr>
        <w:t xml:space="preserve">The governing body monitors </w:t>
      </w:r>
      <w:r w:rsidR="003B22C4" w:rsidRPr="003B22C4">
        <w:rPr>
          <w:rFonts w:ascii="Arial" w:hAnsi="Arial"/>
          <w:b w:val="0"/>
          <w:sz w:val="22"/>
          <w:szCs w:val="22"/>
        </w:rPr>
        <w:t>this</w:t>
      </w:r>
      <w:r w:rsidR="005150E4" w:rsidRPr="003B22C4">
        <w:rPr>
          <w:rFonts w:ascii="Arial" w:hAnsi="Arial"/>
          <w:b w:val="0"/>
          <w:sz w:val="22"/>
          <w:szCs w:val="22"/>
        </w:rPr>
        <w:t xml:space="preserve"> </w:t>
      </w:r>
      <w:r w:rsidR="004A19A5" w:rsidRPr="003B22C4">
        <w:rPr>
          <w:rFonts w:ascii="Arial" w:hAnsi="Arial"/>
          <w:b w:val="0"/>
          <w:sz w:val="22"/>
          <w:szCs w:val="22"/>
        </w:rPr>
        <w:t>policy on a</w:t>
      </w:r>
      <w:r w:rsidRPr="003B22C4">
        <w:rPr>
          <w:rFonts w:ascii="Arial" w:hAnsi="Arial"/>
          <w:b w:val="0"/>
          <w:sz w:val="22"/>
          <w:szCs w:val="22"/>
        </w:rPr>
        <w:t xml:space="preserve"> bi-annual </w:t>
      </w:r>
      <w:r w:rsidR="00271510" w:rsidRPr="003B22C4">
        <w:rPr>
          <w:rFonts w:ascii="Arial" w:hAnsi="Arial"/>
          <w:b w:val="0"/>
          <w:sz w:val="22"/>
          <w:szCs w:val="22"/>
        </w:rPr>
        <w:t xml:space="preserve">basis. </w:t>
      </w:r>
    </w:p>
    <w:p w14:paraId="59DF4BE9" w14:textId="77777777" w:rsidR="004A19A5" w:rsidRPr="003B22C4" w:rsidRDefault="004A19A5" w:rsidP="004873E9">
      <w:pPr>
        <w:pStyle w:val="aLCPBodytext"/>
        <w:ind w:left="567" w:hanging="567"/>
        <w:rPr>
          <w:rFonts w:ascii="Arial" w:hAnsi="Arial" w:cs="Arial"/>
          <w:sz w:val="22"/>
          <w:szCs w:val="22"/>
        </w:rPr>
      </w:pPr>
    </w:p>
    <w:p w14:paraId="6670111E" w14:textId="77777777" w:rsidR="00F32037" w:rsidRPr="003B22C4" w:rsidRDefault="00F32037" w:rsidP="004873E9">
      <w:pPr>
        <w:pStyle w:val="aLCPBodytext"/>
        <w:ind w:left="567" w:hanging="567"/>
        <w:rPr>
          <w:rFonts w:ascii="Arial" w:hAnsi="Arial" w:cs="Arial"/>
          <w:sz w:val="22"/>
          <w:szCs w:val="22"/>
        </w:rPr>
      </w:pPr>
    </w:p>
    <w:p w14:paraId="744DA62E" w14:textId="77777777" w:rsidR="00676E73" w:rsidRDefault="00676E73" w:rsidP="004873E9">
      <w:pPr>
        <w:pStyle w:val="aLCPBodytext"/>
        <w:ind w:left="567" w:hanging="567"/>
        <w:rPr>
          <w:rFonts w:ascii="Arial" w:hAnsi="Arial" w:cs="Arial"/>
          <w:sz w:val="22"/>
          <w:szCs w:val="22"/>
        </w:rPr>
      </w:pPr>
    </w:p>
    <w:p w14:paraId="608B3200" w14:textId="504ACB46" w:rsidR="00AB4814" w:rsidRDefault="00AB4814" w:rsidP="004873E9">
      <w:pPr>
        <w:pStyle w:val="aLCPBodytext"/>
        <w:ind w:left="567" w:hanging="567"/>
        <w:rPr>
          <w:rFonts w:ascii="Arial" w:hAnsi="Arial" w:cs="Arial"/>
          <w:sz w:val="22"/>
          <w:szCs w:val="22"/>
        </w:rPr>
      </w:pPr>
    </w:p>
    <w:p w14:paraId="570A07F6" w14:textId="08AD80E9" w:rsidR="00952F04" w:rsidRDefault="00AB4814" w:rsidP="004873E9">
      <w:pPr>
        <w:pStyle w:val="aLCPBodytext"/>
        <w:ind w:left="567" w:hanging="567"/>
      </w:pPr>
      <w:r>
        <w:rPr>
          <w:rFonts w:ascii="Arial" w:hAnsi="Arial" w:cs="Arial"/>
          <w:sz w:val="22"/>
          <w:szCs w:val="22"/>
        </w:rPr>
        <w:t>Next Review:</w:t>
      </w:r>
      <w:r>
        <w:rPr>
          <w:rFonts w:ascii="Arial" w:hAnsi="Arial" w:cs="Arial"/>
          <w:sz w:val="22"/>
          <w:szCs w:val="22"/>
        </w:rPr>
        <w:tab/>
      </w:r>
      <w:r>
        <w:rPr>
          <w:rFonts w:ascii="Arial" w:hAnsi="Arial" w:cs="Arial"/>
          <w:sz w:val="22"/>
          <w:szCs w:val="22"/>
        </w:rPr>
        <w:tab/>
      </w:r>
      <w:r w:rsidR="00943519">
        <w:rPr>
          <w:rFonts w:ascii="Arial" w:hAnsi="Arial" w:cs="Arial"/>
          <w:sz w:val="22"/>
          <w:szCs w:val="22"/>
        </w:rPr>
        <w:t>November 202</w:t>
      </w:r>
      <w:r w:rsidR="00601DEE">
        <w:rPr>
          <w:rFonts w:ascii="Arial" w:hAnsi="Arial" w:cs="Arial"/>
          <w:sz w:val="22"/>
          <w:szCs w:val="22"/>
        </w:rPr>
        <w:t>6</w:t>
      </w:r>
      <w:r w:rsidR="00F32037" w:rsidRPr="004B4905">
        <w:tab/>
      </w:r>
    </w:p>
    <w:p w14:paraId="5D7B3358" w14:textId="4A0A91F8" w:rsidR="00601DEE" w:rsidRPr="004B4905" w:rsidRDefault="00601DEE" w:rsidP="004873E9">
      <w:pPr>
        <w:pStyle w:val="aLCPBodytext"/>
        <w:ind w:left="567" w:hanging="567"/>
      </w:pPr>
    </w:p>
    <w:sectPr w:rsidR="00601DEE" w:rsidRPr="004B4905" w:rsidSect="003B22C4">
      <w:headerReference w:type="default" r:id="rId9"/>
      <w:footerReference w:type="even" r:id="rId10"/>
      <w:footerReference w:type="default" r:id="rId11"/>
      <w:pgSz w:w="11908" w:h="16833"/>
      <w:pgMar w:top="1440" w:right="1440" w:bottom="1440" w:left="1440" w:header="680" w:footer="85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60A2" w14:textId="77777777" w:rsidR="00110403" w:rsidRDefault="00110403">
      <w:r>
        <w:separator/>
      </w:r>
    </w:p>
  </w:endnote>
  <w:endnote w:type="continuationSeparator" w:id="0">
    <w:p w14:paraId="14EB6DA5" w14:textId="77777777" w:rsidR="00110403" w:rsidRDefault="0011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026C" w14:textId="77777777" w:rsidR="00B10142" w:rsidRDefault="00B10142" w:rsidP="00A71B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598BE" w14:textId="77777777" w:rsidR="00B10142" w:rsidRDefault="00B10142" w:rsidP="00B10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0991" w14:textId="77777777" w:rsidR="00B10142" w:rsidRPr="00A71B5C" w:rsidRDefault="00B10142" w:rsidP="00A71B5C">
    <w:pPr>
      <w:pStyle w:val="Footer"/>
      <w:framePr w:wrap="none" w:vAnchor="text" w:hAnchor="margin" w:xAlign="right" w:y="1"/>
      <w:rPr>
        <w:rStyle w:val="PageNumber"/>
        <w:rFonts w:ascii="Calibri" w:hAnsi="Calibri"/>
        <w:sz w:val="24"/>
      </w:rPr>
    </w:pPr>
    <w:r w:rsidRPr="00A71B5C">
      <w:rPr>
        <w:rStyle w:val="PageNumber"/>
        <w:rFonts w:ascii="Calibri" w:hAnsi="Calibri"/>
        <w:sz w:val="24"/>
      </w:rPr>
      <w:fldChar w:fldCharType="begin"/>
    </w:r>
    <w:r w:rsidRPr="00A71B5C">
      <w:rPr>
        <w:rStyle w:val="PageNumber"/>
        <w:rFonts w:ascii="Calibri" w:hAnsi="Calibri"/>
        <w:sz w:val="24"/>
      </w:rPr>
      <w:instrText xml:space="preserve">PAGE  </w:instrText>
    </w:r>
    <w:r w:rsidRPr="00A71B5C">
      <w:rPr>
        <w:rStyle w:val="PageNumber"/>
        <w:rFonts w:ascii="Calibri" w:hAnsi="Calibri"/>
        <w:sz w:val="24"/>
      </w:rPr>
      <w:fldChar w:fldCharType="separate"/>
    </w:r>
    <w:r w:rsidR="00676E73">
      <w:rPr>
        <w:rStyle w:val="PageNumber"/>
        <w:rFonts w:ascii="Calibri" w:hAnsi="Calibri"/>
        <w:noProof/>
        <w:sz w:val="24"/>
      </w:rPr>
      <w:t>3</w:t>
    </w:r>
    <w:r w:rsidRPr="00A71B5C">
      <w:rPr>
        <w:rStyle w:val="PageNumber"/>
        <w:rFonts w:ascii="Calibri" w:hAnsi="Calibri"/>
        <w:sz w:val="24"/>
      </w:rPr>
      <w:fldChar w:fldCharType="end"/>
    </w:r>
  </w:p>
  <w:p w14:paraId="0C8CE069" w14:textId="77777777" w:rsidR="00271510" w:rsidRDefault="00271510" w:rsidP="00B10142">
    <w:pPr>
      <w:spacing w:before="140" w:line="100" w:lineRule="exact"/>
      <w:ind w:right="360"/>
      <w:rPr>
        <w:sz w:val="10"/>
      </w:rPr>
    </w:pPr>
  </w:p>
  <w:p w14:paraId="1389E2CE" w14:textId="77777777" w:rsidR="00271510" w:rsidRDefault="00271510">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9046" w14:textId="77777777" w:rsidR="00110403" w:rsidRDefault="00110403">
      <w:r>
        <w:separator/>
      </w:r>
    </w:p>
  </w:footnote>
  <w:footnote w:type="continuationSeparator" w:id="0">
    <w:p w14:paraId="2E7B429D" w14:textId="77777777" w:rsidR="00110403" w:rsidRDefault="0011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DF" w14:textId="77777777" w:rsidR="00271510" w:rsidRDefault="00271510">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45B"/>
    <w:multiLevelType w:val="hybridMultilevel"/>
    <w:tmpl w:val="BBE602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E766822"/>
    <w:multiLevelType w:val="hybridMultilevel"/>
    <w:tmpl w:val="7C4292B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4F692969"/>
    <w:multiLevelType w:val="hybridMultilevel"/>
    <w:tmpl w:val="CB5884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55A35ED"/>
    <w:multiLevelType w:val="hybridMultilevel"/>
    <w:tmpl w:val="5DD64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76B2C"/>
    <w:multiLevelType w:val="hybridMultilevel"/>
    <w:tmpl w:val="83A62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16cid:durableId="1440106351">
    <w:abstractNumId w:val="5"/>
  </w:num>
  <w:num w:numId="2" w16cid:durableId="980235632">
    <w:abstractNumId w:val="3"/>
  </w:num>
  <w:num w:numId="3" w16cid:durableId="954095360">
    <w:abstractNumId w:val="4"/>
  </w:num>
  <w:num w:numId="4" w16cid:durableId="1727755929">
    <w:abstractNumId w:val="1"/>
  </w:num>
  <w:num w:numId="5" w16cid:durableId="536235531">
    <w:abstractNumId w:val="0"/>
  </w:num>
  <w:num w:numId="6" w16cid:durableId="8327258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2D"/>
    <w:rsid w:val="00011FC8"/>
    <w:rsid w:val="00033AD0"/>
    <w:rsid w:val="00033DB3"/>
    <w:rsid w:val="0006513E"/>
    <w:rsid w:val="00070F7B"/>
    <w:rsid w:val="00097641"/>
    <w:rsid w:val="000A58A9"/>
    <w:rsid w:val="000C212D"/>
    <w:rsid w:val="000C5773"/>
    <w:rsid w:val="00110403"/>
    <w:rsid w:val="001718D5"/>
    <w:rsid w:val="001A48A6"/>
    <w:rsid w:val="001B34C2"/>
    <w:rsid w:val="001B3589"/>
    <w:rsid w:val="001E74F8"/>
    <w:rsid w:val="00271510"/>
    <w:rsid w:val="002A4015"/>
    <w:rsid w:val="002A5582"/>
    <w:rsid w:val="002B4173"/>
    <w:rsid w:val="002C5CF1"/>
    <w:rsid w:val="002D6D4E"/>
    <w:rsid w:val="002E6758"/>
    <w:rsid w:val="002F2B3F"/>
    <w:rsid w:val="00305C01"/>
    <w:rsid w:val="0036667B"/>
    <w:rsid w:val="003900D3"/>
    <w:rsid w:val="0039747D"/>
    <w:rsid w:val="003B22C4"/>
    <w:rsid w:val="003C2093"/>
    <w:rsid w:val="0040482A"/>
    <w:rsid w:val="004541A9"/>
    <w:rsid w:val="00486DED"/>
    <w:rsid w:val="004873E9"/>
    <w:rsid w:val="004A19A5"/>
    <w:rsid w:val="004B4905"/>
    <w:rsid w:val="004D3E8A"/>
    <w:rsid w:val="0050429A"/>
    <w:rsid w:val="005150E4"/>
    <w:rsid w:val="005159AC"/>
    <w:rsid w:val="0053039D"/>
    <w:rsid w:val="00531772"/>
    <w:rsid w:val="0054179D"/>
    <w:rsid w:val="00546F95"/>
    <w:rsid w:val="00547DD7"/>
    <w:rsid w:val="005723A0"/>
    <w:rsid w:val="005A22EA"/>
    <w:rsid w:val="005D1D9E"/>
    <w:rsid w:val="005F35CA"/>
    <w:rsid w:val="005F65B6"/>
    <w:rsid w:val="005F6E6E"/>
    <w:rsid w:val="00601DEE"/>
    <w:rsid w:val="00620422"/>
    <w:rsid w:val="0062280C"/>
    <w:rsid w:val="0067435C"/>
    <w:rsid w:val="00676E73"/>
    <w:rsid w:val="00680050"/>
    <w:rsid w:val="006A6BE6"/>
    <w:rsid w:val="006B6ABE"/>
    <w:rsid w:val="006C5857"/>
    <w:rsid w:val="00732B74"/>
    <w:rsid w:val="00772E9A"/>
    <w:rsid w:val="007858B6"/>
    <w:rsid w:val="007A527A"/>
    <w:rsid w:val="007D1C4F"/>
    <w:rsid w:val="007D20DE"/>
    <w:rsid w:val="00853575"/>
    <w:rsid w:val="00893D6F"/>
    <w:rsid w:val="008957F0"/>
    <w:rsid w:val="008B272B"/>
    <w:rsid w:val="008D2813"/>
    <w:rsid w:val="008E02C6"/>
    <w:rsid w:val="008E06EF"/>
    <w:rsid w:val="00942320"/>
    <w:rsid w:val="00943519"/>
    <w:rsid w:val="00952F04"/>
    <w:rsid w:val="009A6394"/>
    <w:rsid w:val="009B0104"/>
    <w:rsid w:val="009B0820"/>
    <w:rsid w:val="009B6F2E"/>
    <w:rsid w:val="009B7EE9"/>
    <w:rsid w:val="00A16EEE"/>
    <w:rsid w:val="00A31E97"/>
    <w:rsid w:val="00A71B5C"/>
    <w:rsid w:val="00AA24DA"/>
    <w:rsid w:val="00AB4814"/>
    <w:rsid w:val="00AD4A5C"/>
    <w:rsid w:val="00B10142"/>
    <w:rsid w:val="00B141C3"/>
    <w:rsid w:val="00B3336F"/>
    <w:rsid w:val="00B37A24"/>
    <w:rsid w:val="00B41565"/>
    <w:rsid w:val="00B4169A"/>
    <w:rsid w:val="00B4399D"/>
    <w:rsid w:val="00B63DF3"/>
    <w:rsid w:val="00B83DB3"/>
    <w:rsid w:val="00BC09EB"/>
    <w:rsid w:val="00BF25C4"/>
    <w:rsid w:val="00C554ED"/>
    <w:rsid w:val="00C75C55"/>
    <w:rsid w:val="00D3271C"/>
    <w:rsid w:val="00D51BC9"/>
    <w:rsid w:val="00E3230E"/>
    <w:rsid w:val="00E363CA"/>
    <w:rsid w:val="00E80D9F"/>
    <w:rsid w:val="00E82CD4"/>
    <w:rsid w:val="00E9763B"/>
    <w:rsid w:val="00EC7E01"/>
    <w:rsid w:val="00ED249D"/>
    <w:rsid w:val="00EE2C48"/>
    <w:rsid w:val="00F076AA"/>
    <w:rsid w:val="00F214B7"/>
    <w:rsid w:val="00F32037"/>
    <w:rsid w:val="00F4195D"/>
    <w:rsid w:val="00FE6A77"/>
    <w:rsid w:val="00FF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726F8"/>
  <w15:chartTrackingRefBased/>
  <w15:docId w15:val="{AEF48860-3C18-49AB-B851-68FA913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952F04"/>
    <w:pPr>
      <w:jc w:val="center"/>
    </w:pPr>
    <w:rPr>
      <w:rFonts w:ascii="Arial" w:hAnsi="Arial" w:cs="Arial"/>
      <w:sz w:val="36"/>
      <w:szCs w:val="36"/>
      <w:u w:val="none"/>
    </w:rPr>
  </w:style>
  <w:style w:type="paragraph" w:customStyle="1" w:styleId="aLCPSubhead">
    <w:name w:val="a LCP Subhead"/>
    <w:autoRedefine/>
    <w:rsid w:val="004B4905"/>
    <w:pPr>
      <w:ind w:left="567"/>
    </w:pPr>
    <w:rPr>
      <w:rFonts w:ascii="Calibri" w:hAnsi="Calibri" w:cs="Arial"/>
      <w:b/>
      <w:sz w:val="28"/>
      <w:szCs w:val="28"/>
      <w:lang w:eastAsia="en-US"/>
    </w:rPr>
  </w:style>
  <w:style w:type="paragraph" w:customStyle="1" w:styleId="aLCPBodytext">
    <w:name w:val="a LCP Body text"/>
    <w:autoRedefine/>
    <w:rsid w:val="00E3230E"/>
    <w:pPr>
      <w:ind w:left="680" w:hanging="680"/>
      <w:jc w:val="both"/>
    </w:pPr>
    <w:rPr>
      <w:rFonts w:ascii="Calibri" w:hAnsi="Calibri" w:cs="Calibri"/>
      <w:sz w:val="28"/>
      <w:szCs w:val="28"/>
      <w:lang w:eastAsia="en-US"/>
    </w:rPr>
  </w:style>
  <w:style w:type="paragraph" w:customStyle="1" w:styleId="aLCPbulletlist">
    <w:name w:val="a LCP bullet list"/>
    <w:basedOn w:val="aLCPBodytext"/>
    <w:autoRedefine/>
    <w:pPr>
      <w:numPr>
        <w:numId w:val="1"/>
      </w:numPr>
    </w:pPr>
  </w:style>
  <w:style w:type="paragraph" w:styleId="NormalWeb">
    <w:name w:val="Normal (Web)"/>
    <w:basedOn w:val="Normal"/>
    <w:uiPriority w:val="99"/>
    <w:unhideWhenUsed/>
    <w:rsid w:val="006C5857"/>
    <w:pPr>
      <w:spacing w:before="100" w:beforeAutospacing="1" w:after="100" w:afterAutospacing="1"/>
    </w:pPr>
    <w:rPr>
      <w:sz w:val="24"/>
      <w:szCs w:val="24"/>
      <w:lang w:val="en-GB" w:eastAsia="en-GB"/>
    </w:rPr>
  </w:style>
  <w:style w:type="character" w:styleId="Hyperlink">
    <w:name w:val="Hyperlink"/>
    <w:uiPriority w:val="99"/>
    <w:unhideWhenUsed/>
    <w:rsid w:val="006C5857"/>
    <w:rPr>
      <w:color w:val="0000FF"/>
      <w:u w:val="single"/>
    </w:rPr>
  </w:style>
  <w:style w:type="character" w:styleId="Strong">
    <w:name w:val="Strong"/>
    <w:uiPriority w:val="22"/>
    <w:qFormat/>
    <w:rsid w:val="006C5857"/>
    <w:rPr>
      <w:b/>
      <w:bCs/>
    </w:rPr>
  </w:style>
  <w:style w:type="paragraph" w:styleId="BalloonText">
    <w:name w:val="Balloon Text"/>
    <w:basedOn w:val="Normal"/>
    <w:link w:val="BalloonTextChar"/>
    <w:rsid w:val="004D3E8A"/>
    <w:rPr>
      <w:rFonts w:ascii="Segoe UI" w:hAnsi="Segoe UI" w:cs="Segoe UI"/>
      <w:sz w:val="18"/>
      <w:szCs w:val="18"/>
    </w:rPr>
  </w:style>
  <w:style w:type="character" w:customStyle="1" w:styleId="BalloonTextChar">
    <w:name w:val="Balloon Text Char"/>
    <w:link w:val="BalloonText"/>
    <w:rsid w:val="004D3E8A"/>
    <w:rPr>
      <w:rFonts w:ascii="Segoe UI" w:hAnsi="Segoe UI" w:cs="Segoe UI"/>
      <w:sz w:val="18"/>
      <w:szCs w:val="18"/>
      <w:lang w:val="en-US" w:eastAsia="en-US"/>
    </w:rPr>
  </w:style>
  <w:style w:type="character" w:styleId="PageNumber">
    <w:name w:val="page number"/>
    <w:rsid w:val="00B1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5140">
      <w:bodyDiv w:val="1"/>
      <w:marLeft w:val="0"/>
      <w:marRight w:val="0"/>
      <w:marTop w:val="0"/>
      <w:marBottom w:val="0"/>
      <w:divBdr>
        <w:top w:val="none" w:sz="0" w:space="0" w:color="auto"/>
        <w:left w:val="none" w:sz="0" w:space="0" w:color="auto"/>
        <w:bottom w:val="none" w:sz="0" w:space="0" w:color="auto"/>
        <w:right w:val="none" w:sz="0" w:space="0" w:color="auto"/>
      </w:divBdr>
    </w:div>
    <w:div w:id="787119472">
      <w:bodyDiv w:val="1"/>
      <w:marLeft w:val="0"/>
      <w:marRight w:val="0"/>
      <w:marTop w:val="0"/>
      <w:marBottom w:val="0"/>
      <w:divBdr>
        <w:top w:val="none" w:sz="0" w:space="0" w:color="auto"/>
        <w:left w:val="none" w:sz="0" w:space="0" w:color="auto"/>
        <w:bottom w:val="none" w:sz="0" w:space="0" w:color="auto"/>
        <w:right w:val="none" w:sz="0" w:space="0" w:color="auto"/>
      </w:divBdr>
    </w:div>
    <w:div w:id="930510882">
      <w:bodyDiv w:val="1"/>
      <w:marLeft w:val="0"/>
      <w:marRight w:val="0"/>
      <w:marTop w:val="0"/>
      <w:marBottom w:val="0"/>
      <w:divBdr>
        <w:top w:val="none" w:sz="0" w:space="0" w:color="auto"/>
        <w:left w:val="none" w:sz="0" w:space="0" w:color="auto"/>
        <w:bottom w:val="none" w:sz="0" w:space="0" w:color="auto"/>
        <w:right w:val="none" w:sz="0" w:space="0" w:color="auto"/>
      </w:divBdr>
    </w:div>
    <w:div w:id="1163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1197-94FD-1849-8839-EE5BF216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Policies template</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5439</CharactersWithSpaces>
  <SharedDoc>false</SharedDoc>
  <HLinks>
    <vt:vector size="6" baseType="variant">
      <vt:variant>
        <vt:i4>7208971</vt:i4>
      </vt:variant>
      <vt:variant>
        <vt:i4>-1</vt:i4>
      </vt:variant>
      <vt:variant>
        <vt:i4>2051</vt:i4>
      </vt:variant>
      <vt:variant>
        <vt:i4>1</vt:i4>
      </vt:variant>
      <vt:variant>
        <vt:lpwstr>cid:image004.png@01D2CA4A.D262D9D0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julia tillotson</cp:lastModifiedBy>
  <cp:revision>2</cp:revision>
  <cp:lastPrinted>2019-10-23T14:35:00Z</cp:lastPrinted>
  <dcterms:created xsi:type="dcterms:W3CDTF">2025-11-26T19:36:00Z</dcterms:created>
  <dcterms:modified xsi:type="dcterms:W3CDTF">2025-11-26T19:36:00Z</dcterms:modified>
</cp:coreProperties>
</file>