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9E651D" w14:textId="77777777" w:rsidR="00504C9B" w:rsidRDefault="00000000">
      <w:pPr>
        <w:spacing w:before="240" w:after="240"/>
      </w:pPr>
      <w:r>
        <w:rPr>
          <w:color w:val="000000"/>
          <w:sz w:val="24"/>
          <w:szCs w:val="24"/>
        </w:rPr>
        <w:t>This statement details our school's approach to delivering inclusive practice for all children, including those with SEND, funded by our core school budget (including the notional SEN budget) and the inclusive mainstream fund (IMF).</w:t>
      </w:r>
    </w:p>
    <w:p w14:paraId="3E99CF38" w14:textId="77777777" w:rsidR="00504C9B" w:rsidRDefault="00000000">
      <w:pPr>
        <w:spacing w:before="281" w:after="281"/>
        <w:outlineLvl w:val="2"/>
      </w:pPr>
      <w:r>
        <w:rPr>
          <w:b/>
          <w:bCs/>
          <w:color w:val="000000"/>
          <w:sz w:val="28"/>
          <w:szCs w:val="28"/>
        </w:rPr>
        <w:t>Statement of Intent</w:t>
      </w:r>
    </w:p>
    <w:p w14:paraId="2DAF6E56" w14:textId="77777777" w:rsidR="00504C9B" w:rsidRDefault="00000000">
      <w:pPr>
        <w:spacing w:before="240" w:after="240"/>
      </w:pPr>
      <w:r>
        <w:rPr>
          <w:color w:val="000000"/>
          <w:sz w:val="24"/>
          <w:szCs w:val="24"/>
        </w:rPr>
        <w:t>Lunt's Heath Primary School is committed to an inclusive school where every pupil can Appreciate, Aspire and Achieve. Our ultimate objectives are that: pupils with additional needs and SEND participate fully in learning and school life; barriers to access, participation and achievement are reduced or removed; and staff are confident and skilled in high-quality adaptive teaching so differentiation and early help are routine.</w:t>
      </w:r>
    </w:p>
    <w:p w14:paraId="3E28AEA9" w14:textId="77777777" w:rsidR="00504C9B" w:rsidRDefault="00000000">
      <w:pPr>
        <w:spacing w:before="240" w:after="240"/>
      </w:pPr>
      <w:r>
        <w:rPr>
          <w:color w:val="000000"/>
          <w:sz w:val="24"/>
          <w:szCs w:val="24"/>
        </w:rPr>
        <w:t>This inclusion strategy focuses our resources (core school budget, notional SEN budget and IMF) on strengthening a small number of high‑impact approaches that embed inclusion across the school. It does this by: (a) improving universal provision through school‑wide professional development and adaptive classroom practice; (b) putting early, evidence‑based support in place for pupils whose needs emerge; (c) removing practical barriers to enrichment and participation; and (d) ensuring the school environment and routines support regulation, communication and belonging.</w:t>
      </w:r>
    </w:p>
    <w:p w14:paraId="39C165EF" w14:textId="77777777" w:rsidR="00504C9B" w:rsidRDefault="00000000">
      <w:pPr>
        <w:spacing w:before="240" w:after="240"/>
      </w:pPr>
      <w:r>
        <w:rPr>
          <w:color w:val="000000"/>
          <w:sz w:val="24"/>
          <w:szCs w:val="24"/>
        </w:rPr>
        <w:t>We have framed our activity explicitly around the DfE’s seven principles of inclusion (listed in Section 3 activities where each funded approach is mapped to one principle). The strategy prioritises a stronger universal offer (so fewer children need specialist referral), combined with targeted, evidence‑informed interventions where the universal offer alone is insufficient.</w:t>
      </w:r>
    </w:p>
    <w:p w14:paraId="2C99A70C" w14:textId="129F7640" w:rsidR="00504C9B" w:rsidRDefault="00000000">
      <w:pPr>
        <w:spacing w:before="240" w:after="240"/>
      </w:pPr>
      <w:r>
        <w:rPr>
          <w:color w:val="000000"/>
          <w:sz w:val="24"/>
          <w:szCs w:val="24"/>
        </w:rPr>
        <w:t>This strategy was developed by the senior leadership team (headteacher, SLT, SENCO), governors and the school business manager, drawing on: our pupil‑level data (attendance, persistent absence, SEND register), staff feedback, and pupil and family views gathered through parent meetings and school council. We also reviewed sector evidence and DfE/EEF guidance to ensure our chosen approaches are evidence‑informed and proportionate to the barriers we have identified locally.</w:t>
      </w:r>
    </w:p>
    <w:p w14:paraId="1DAA5313" w14:textId="77777777" w:rsidR="00504C9B" w:rsidRDefault="00000000">
      <w:pPr>
        <w:numPr>
          <w:ilvl w:val="0"/>
          <w:numId w:val="10"/>
        </w:numPr>
        <w:rPr>
          <w:color w:val="000000"/>
          <w:sz w:val="24"/>
          <w:szCs w:val="24"/>
        </w:rPr>
      </w:pPr>
      <w:r>
        <w:rPr>
          <w:color w:val="000000"/>
          <w:sz w:val="24"/>
          <w:szCs w:val="24"/>
        </w:rPr>
        <w:t>Barriers to Learning and Participation</w:t>
      </w:r>
    </w:p>
    <w:p w14:paraId="11BCDA63" w14:textId="4FDA4546" w:rsidR="00F46CC2" w:rsidRPr="00F46CC2" w:rsidRDefault="00000000">
      <w:pPr>
        <w:spacing w:before="240" w:after="240"/>
        <w:rPr>
          <w:color w:val="000000"/>
          <w:sz w:val="24"/>
          <w:szCs w:val="24"/>
        </w:rPr>
      </w:pPr>
      <w:r>
        <w:rPr>
          <w:color w:val="000000"/>
          <w:sz w:val="24"/>
          <w:szCs w:val="24"/>
        </w:rPr>
        <w:t>This details the key barriers to learning and participation that we have identified amongst our pupils, necessitating inclusive universal approaches and targeted support</w:t>
      </w:r>
    </w:p>
    <w:tbl>
      <w:tblPr>
        <w:tblStyle w:val="NormalTablePHPDOCX"/>
        <w:tblW w:w="5011" w:type="pct"/>
        <w:tblBorders>
          <w:top w:val="single" w:sz="5" w:space="0" w:color="000000"/>
          <w:left w:val="single" w:sz="5" w:space="0" w:color="000000"/>
          <w:bottom w:val="single" w:sz="5" w:space="0" w:color="000000"/>
          <w:right w:val="single" w:sz="5" w:space="0" w:color="000000"/>
        </w:tblBorders>
        <w:tblLayout w:type="fixed"/>
        <w:tblCellMar>
          <w:left w:w="0" w:type="dxa"/>
          <w:right w:w="0" w:type="dxa"/>
        </w:tblCellMar>
        <w:tblLook w:val="04A0" w:firstRow="1" w:lastRow="0" w:firstColumn="1" w:lastColumn="0" w:noHBand="0" w:noVBand="1"/>
      </w:tblPr>
      <w:tblGrid>
        <w:gridCol w:w="510"/>
        <w:gridCol w:w="8859"/>
      </w:tblGrid>
      <w:tr w:rsidR="00504C9B" w14:paraId="0CA12690" w14:textId="77777777" w:rsidTr="00F46CC2">
        <w:tc>
          <w:tcPr>
            <w:tcW w:w="272" w:type="pct"/>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376E4C2F" w14:textId="5168998C" w:rsidR="00504C9B" w:rsidRDefault="00504C9B">
            <w:pPr>
              <w:jc w:val="center"/>
            </w:pPr>
          </w:p>
        </w:tc>
        <w:tc>
          <w:tcPr>
            <w:tcW w:w="8859" w:type="dxa"/>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1D6D7EAB" w14:textId="77777777" w:rsidR="00504C9B" w:rsidRDefault="00000000">
            <w:pPr>
              <w:jc w:val="center"/>
            </w:pPr>
            <w:r>
              <w:rPr>
                <w:b/>
                <w:bCs/>
                <w:color w:val="000000"/>
                <w:position w:val="-3"/>
                <w:sz w:val="24"/>
                <w:szCs w:val="24"/>
              </w:rPr>
              <w:t>Detail of barrier to learning</w:t>
            </w:r>
          </w:p>
        </w:tc>
      </w:tr>
      <w:tr w:rsidR="00504C9B" w14:paraId="70FF76AA" w14:textId="77777777" w:rsidTr="00F46CC2">
        <w:tc>
          <w:tcPr>
            <w:tcW w:w="272" w:type="pct"/>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1D511DE2" w14:textId="77777777" w:rsidR="00504C9B" w:rsidRDefault="00000000">
            <w:r>
              <w:rPr>
                <w:color w:val="000000"/>
                <w:position w:val="-3"/>
                <w:sz w:val="24"/>
                <w:szCs w:val="24"/>
              </w:rPr>
              <w:t>1</w:t>
            </w:r>
          </w:p>
        </w:tc>
        <w:tc>
          <w:tcPr>
            <w:tcW w:w="8859" w:type="dxa"/>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4BF42A16" w14:textId="77777777" w:rsidR="00504C9B" w:rsidRDefault="00000000">
            <w:r>
              <w:rPr>
                <w:color w:val="000000"/>
                <w:position w:val="-3"/>
                <w:sz w:val="24"/>
                <w:szCs w:val="24"/>
              </w:rPr>
              <w:t xml:space="preserve">Socio‑economic disadvantage — A minority of families (12.9% pupil premium; 8.6% FSM) face constraints in paying for trips, uniform, extracurricular clubs or extra resources at home. This can limit access to enrichment, reduce participation in wider opportunities and widen gaps in readiness for learning </w:t>
            </w:r>
            <w:r>
              <w:rPr>
                <w:color w:val="000000"/>
                <w:position w:val="-3"/>
                <w:sz w:val="24"/>
                <w:szCs w:val="24"/>
              </w:rPr>
              <w:lastRenderedPageBreak/>
              <w:t>outside school time. Persistent absence is higher for disadvantaged pupils (persistent absence for pupil premium currently 32.4% Oct), indicating compound risk from disadvantage.</w:t>
            </w:r>
          </w:p>
        </w:tc>
      </w:tr>
      <w:tr w:rsidR="00504C9B" w14:paraId="31DDB2E9" w14:textId="77777777" w:rsidTr="00F46CC2">
        <w:tc>
          <w:tcPr>
            <w:tcW w:w="272" w:type="pct"/>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13784E73" w14:textId="77777777" w:rsidR="00504C9B" w:rsidRDefault="00000000">
            <w:r>
              <w:rPr>
                <w:color w:val="000000"/>
                <w:position w:val="-3"/>
                <w:sz w:val="24"/>
                <w:szCs w:val="24"/>
              </w:rPr>
              <w:lastRenderedPageBreak/>
              <w:t>2</w:t>
            </w:r>
          </w:p>
        </w:tc>
        <w:tc>
          <w:tcPr>
            <w:tcW w:w="8859" w:type="dxa"/>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09663A78" w14:textId="77777777" w:rsidR="00504C9B" w:rsidRDefault="00000000">
            <w:r>
              <w:rPr>
                <w:color w:val="000000"/>
                <w:position w:val="-3"/>
                <w:sz w:val="24"/>
                <w:szCs w:val="24"/>
              </w:rPr>
              <w:t xml:space="preserve">SEND needs across the four broad areas — The school’s SEND cohort (11.2% of pupils) includes needs across: communication and interaction; cognition and learning; social, emotional and mental health (SEMH); and sensory/physical needs. The range and complexity of needs is increasing modestly in recent years as identification rates have grown, and some pupils require early, specialist input beyond classroom adjustments. (See EEF SEND guidance for evidence on common needs and the importance of high‑quality teaching.) </w:t>
            </w:r>
            <w:hyperlink r:id="rId7" w:history="1">
              <w:r>
                <w:rPr>
                  <w:rStyle w:val="DefaultParagraphFontPHPDOCX"/>
                  <w:color w:val="0000CC"/>
                  <w:position w:val="-3"/>
                  <w:sz w:val="24"/>
                  <w:szCs w:val="24"/>
                  <w:u w:val="single" w:color="000000"/>
                </w:rPr>
                <w:t>Special Educational Needs in Mainstream Schools (EEF guidance report)</w:t>
              </w:r>
            </w:hyperlink>
          </w:p>
        </w:tc>
      </w:tr>
      <w:tr w:rsidR="00504C9B" w14:paraId="18D6DAA2" w14:textId="77777777" w:rsidTr="00F46CC2">
        <w:tc>
          <w:tcPr>
            <w:tcW w:w="272" w:type="pct"/>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212559A8" w14:textId="77777777" w:rsidR="00504C9B" w:rsidRDefault="00000000">
            <w:r>
              <w:rPr>
                <w:color w:val="000000"/>
                <w:position w:val="-3"/>
                <w:sz w:val="24"/>
                <w:szCs w:val="24"/>
              </w:rPr>
              <w:t>3</w:t>
            </w:r>
          </w:p>
        </w:tc>
        <w:tc>
          <w:tcPr>
            <w:tcW w:w="8859" w:type="dxa"/>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30ED40AC" w14:textId="77777777" w:rsidR="00504C9B" w:rsidRDefault="00000000">
            <w:r>
              <w:rPr>
                <w:color w:val="000000"/>
                <w:position w:val="-3"/>
                <w:sz w:val="24"/>
                <w:szCs w:val="24"/>
              </w:rPr>
              <w:t>Social, Emotional and Mental Health (SEMH) needs — A cohort of pupils show needs affecting regulation, engagement and behaviour during busy social times and transitions. These needs sometimes affect attendance, participation and readiness to learn and require both universal relational practice and timely targeted support.</w:t>
            </w:r>
          </w:p>
        </w:tc>
      </w:tr>
      <w:tr w:rsidR="00504C9B" w14:paraId="7F61A5CF" w14:textId="77777777" w:rsidTr="00F46CC2">
        <w:tc>
          <w:tcPr>
            <w:tcW w:w="272" w:type="pct"/>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058E2BA8" w14:textId="77777777" w:rsidR="00504C9B" w:rsidRDefault="00000000">
            <w:r>
              <w:rPr>
                <w:color w:val="000000"/>
                <w:position w:val="-3"/>
                <w:sz w:val="24"/>
                <w:szCs w:val="24"/>
              </w:rPr>
              <w:t>4</w:t>
            </w:r>
          </w:p>
        </w:tc>
        <w:tc>
          <w:tcPr>
            <w:tcW w:w="8859" w:type="dxa"/>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3A2D855A" w14:textId="77777777" w:rsidR="00504C9B" w:rsidRDefault="00000000">
            <w:r>
              <w:rPr>
                <w:color w:val="000000"/>
                <w:position w:val="-3"/>
                <w:sz w:val="24"/>
                <w:szCs w:val="24"/>
              </w:rPr>
              <w:t xml:space="preserve">Communication and language difficulties — Some pupils, including those with Developmental Language Disorder (DLD) or early SLCN, enter school with weaker oral language and vocabulary which constrains access to the curriculum, limits participation in group work and slows literacy progress. Early identification and timely language support are priorities. </w:t>
            </w:r>
            <w:hyperlink r:id="rId8" w:history="1">
              <w:r>
                <w:rPr>
                  <w:rStyle w:val="DefaultParagraphFontPHPDOCX"/>
                  <w:color w:val="0000CC"/>
                  <w:position w:val="-3"/>
                  <w:sz w:val="24"/>
                  <w:szCs w:val="24"/>
                  <w:u w:val="single" w:color="000000"/>
                </w:rPr>
                <w:t>Resource library for educators (Speech and Language UK)</w:t>
              </w:r>
            </w:hyperlink>
          </w:p>
        </w:tc>
      </w:tr>
      <w:tr w:rsidR="00504C9B" w14:paraId="540B347B" w14:textId="77777777" w:rsidTr="00F46CC2">
        <w:tc>
          <w:tcPr>
            <w:tcW w:w="272" w:type="pct"/>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6022E76A" w14:textId="77777777" w:rsidR="00504C9B" w:rsidRDefault="00000000">
            <w:r>
              <w:rPr>
                <w:color w:val="000000"/>
                <w:position w:val="-3"/>
                <w:sz w:val="24"/>
                <w:szCs w:val="24"/>
              </w:rPr>
              <w:t>5</w:t>
            </w:r>
          </w:p>
        </w:tc>
        <w:tc>
          <w:tcPr>
            <w:tcW w:w="8859" w:type="dxa"/>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3614B908" w14:textId="77777777" w:rsidR="00504C9B" w:rsidRDefault="00000000">
            <w:r>
              <w:rPr>
                <w:color w:val="000000"/>
                <w:position w:val="-3"/>
                <w:sz w:val="24"/>
                <w:szCs w:val="24"/>
              </w:rPr>
              <w:t>Access to enrichment and wider opportunities — Practical barriers (cost, transport, confidence) reduce take‑up of clubs, trips and residentials for some pupils, limiting personal development, broader curriculum experiences and opportunities to build skills aligned to our values (Ambition, Collaboration, Inner Resilience, Enterprising, Understanding).</w:t>
            </w:r>
          </w:p>
        </w:tc>
      </w:tr>
    </w:tbl>
    <w:p w14:paraId="32E72101" w14:textId="6C7E6A15" w:rsidR="00F46CC2" w:rsidRPr="00F46CC2" w:rsidRDefault="00000000" w:rsidP="00F46CC2">
      <w:pPr>
        <w:numPr>
          <w:ilvl w:val="0"/>
          <w:numId w:val="11"/>
        </w:numPr>
        <w:rPr>
          <w:color w:val="000000"/>
          <w:sz w:val="24"/>
          <w:szCs w:val="24"/>
        </w:rPr>
      </w:pPr>
      <w:r>
        <w:rPr>
          <w:color w:val="000000"/>
          <w:sz w:val="24"/>
          <w:szCs w:val="24"/>
        </w:rPr>
        <w:t>Activity in This Academic Year</w:t>
      </w:r>
    </w:p>
    <w:p w14:paraId="2C06F831" w14:textId="77777777" w:rsidR="00504C9B" w:rsidRDefault="00000000">
      <w:pPr>
        <w:spacing w:before="240" w:after="240"/>
      </w:pPr>
      <w:r>
        <w:rPr>
          <w:color w:val="000000"/>
          <w:sz w:val="24"/>
          <w:szCs w:val="24"/>
        </w:rPr>
        <w:t>“In this context, 'activity' is a reporting term to help understand where funding has been allocated to build an inclusive core offer and does not indicate only targeted provision. Activity may address multiple barriers identified, particularly for improvements to your universal offer."</w:t>
      </w:r>
    </w:p>
    <w:tbl>
      <w:tblPr>
        <w:tblStyle w:val="NormalTablePHPDOCX"/>
        <w:tblW w:w="5000" w:type="pct"/>
        <w:tblBorders>
          <w:top w:val="single" w:sz="5" w:space="0" w:color="000000"/>
          <w:left w:val="single" w:sz="5" w:space="0" w:color="000000"/>
          <w:bottom w:val="single" w:sz="5" w:space="0" w:color="000000"/>
          <w:right w:val="single" w:sz="5" w:space="0" w:color="000000"/>
        </w:tblBorders>
        <w:tblLayout w:type="fixed"/>
        <w:tblCellMar>
          <w:left w:w="0" w:type="dxa"/>
          <w:right w:w="0" w:type="dxa"/>
        </w:tblCellMar>
        <w:tblLook w:val="04A0" w:firstRow="1" w:lastRow="0" w:firstColumn="1" w:lastColumn="0" w:noHBand="0" w:noVBand="1"/>
      </w:tblPr>
      <w:tblGrid>
        <w:gridCol w:w="4530"/>
        <w:gridCol w:w="1488"/>
        <w:gridCol w:w="3330"/>
      </w:tblGrid>
      <w:tr w:rsidR="00504C9B" w14:paraId="4939C88F" w14:textId="77777777" w:rsidTr="00F46CC2">
        <w:tc>
          <w:tcPr>
            <w:tcW w:w="2423" w:type="pct"/>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226C4871" w14:textId="77777777" w:rsidR="00504C9B" w:rsidRDefault="00000000">
            <w:pPr>
              <w:jc w:val="center"/>
            </w:pPr>
            <w:r>
              <w:rPr>
                <w:b/>
                <w:bCs/>
                <w:color w:val="000000"/>
                <w:position w:val="-3"/>
                <w:sz w:val="24"/>
                <w:szCs w:val="24"/>
              </w:rPr>
              <w:t>Description of activity</w:t>
            </w:r>
          </w:p>
        </w:tc>
        <w:tc>
          <w:tcPr>
            <w:tcW w:w="796" w:type="pct"/>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2F23EC52" w14:textId="77777777" w:rsidR="00504C9B" w:rsidRDefault="00000000">
            <w:pPr>
              <w:jc w:val="center"/>
            </w:pPr>
            <w:r>
              <w:rPr>
                <w:b/>
                <w:bCs/>
                <w:color w:val="000000"/>
                <w:position w:val="-3"/>
                <w:sz w:val="24"/>
                <w:szCs w:val="24"/>
              </w:rPr>
              <w:t>Activity type</w:t>
            </w:r>
          </w:p>
        </w:tc>
        <w:tc>
          <w:tcPr>
            <w:tcW w:w="3330" w:type="dxa"/>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102DD464" w14:textId="77777777" w:rsidR="00504C9B" w:rsidRDefault="00000000">
            <w:pPr>
              <w:jc w:val="center"/>
            </w:pPr>
            <w:r>
              <w:rPr>
                <w:b/>
                <w:bCs/>
                <w:color w:val="000000"/>
                <w:position w:val="-3"/>
                <w:sz w:val="24"/>
                <w:szCs w:val="24"/>
              </w:rPr>
              <w:t>Total budgeted cost</w:t>
            </w:r>
          </w:p>
        </w:tc>
      </w:tr>
      <w:tr w:rsidR="00504C9B" w14:paraId="7C910529" w14:textId="77777777" w:rsidTr="00F46CC2">
        <w:tc>
          <w:tcPr>
            <w:tcW w:w="2423" w:type="pct"/>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48CFF3AF" w14:textId="77777777" w:rsidR="00504C9B" w:rsidRDefault="00000000">
            <w:r>
              <w:rPr>
                <w:color w:val="000000"/>
                <w:position w:val="-3"/>
                <w:sz w:val="24"/>
                <w:szCs w:val="24"/>
              </w:rPr>
              <w:t xml:space="preserve">Whole‑school professional development and in‑class coaching to embed high‑quality adaptive teaching (focus: </w:t>
            </w:r>
            <w:r>
              <w:rPr>
                <w:color w:val="000000"/>
                <w:position w:val="-3"/>
                <w:sz w:val="24"/>
                <w:szCs w:val="24"/>
              </w:rPr>
              <w:lastRenderedPageBreak/>
              <w:t>EEF ‘Five‑a‑day’ adaptive strategies, flexible grouping, scaffolding, metacognitive strategies). This draws on the DfE IMF best practice steer that quality‑first teaching is the biggest driver of inclusion and on the EEF SEND guidance which places excellent teaching at the centre of support for pupils with SEND. Principle: high quality adaptive teaching with curriculum designed for all learners. Barriers addressed: 2, 3, 4</w:t>
            </w:r>
          </w:p>
        </w:tc>
        <w:tc>
          <w:tcPr>
            <w:tcW w:w="796" w:type="pct"/>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6CC46354" w14:textId="77777777" w:rsidR="00504C9B" w:rsidRDefault="00000000">
            <w:r>
              <w:rPr>
                <w:color w:val="000000"/>
                <w:position w:val="-3"/>
                <w:sz w:val="24"/>
                <w:szCs w:val="24"/>
              </w:rPr>
              <w:lastRenderedPageBreak/>
              <w:t>universal</w:t>
            </w:r>
          </w:p>
        </w:tc>
        <w:tc>
          <w:tcPr>
            <w:tcW w:w="3330" w:type="dxa"/>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452376CA" w14:textId="77777777" w:rsidR="00504C9B" w:rsidRDefault="00000000">
            <w:r>
              <w:rPr>
                <w:color w:val="000000"/>
                <w:position w:val="-3"/>
                <w:sz w:val="24"/>
                <w:szCs w:val="24"/>
              </w:rPr>
              <w:t xml:space="preserve">[School to confirm – IMF + core budget] </w:t>
            </w:r>
            <w:hyperlink r:id="rId9" w:history="1">
              <w:r>
                <w:rPr>
                  <w:rStyle w:val="DefaultParagraphFontPHPDOCX"/>
                  <w:color w:val="0000CC"/>
                  <w:position w:val="-3"/>
                  <w:sz w:val="24"/>
                  <w:szCs w:val="24"/>
                  <w:u w:val="single" w:color="000000"/>
                </w:rPr>
                <w:t xml:space="preserve">Inclusive mainstream fund: best </w:t>
              </w:r>
              <w:r>
                <w:rPr>
                  <w:rStyle w:val="DefaultParagraphFontPHPDOCX"/>
                  <w:color w:val="0000CC"/>
                  <w:position w:val="-3"/>
                  <w:sz w:val="24"/>
                  <w:szCs w:val="24"/>
                  <w:u w:val="single" w:color="000000"/>
                </w:rPr>
                <w:lastRenderedPageBreak/>
                <w:t>practice for schools (DfE)</w:t>
              </w:r>
            </w:hyperlink>
            <w:r>
              <w:rPr>
                <w:color w:val="000000"/>
                <w:position w:val="-3"/>
                <w:sz w:val="24"/>
                <w:szCs w:val="24"/>
              </w:rPr>
              <w:t xml:space="preserve">, </w:t>
            </w:r>
            <w:hyperlink r:id="rId10" w:history="1">
              <w:r>
                <w:rPr>
                  <w:rStyle w:val="DefaultParagraphFontPHPDOCX"/>
                  <w:color w:val="0000CC"/>
                  <w:position w:val="-3"/>
                  <w:sz w:val="24"/>
                  <w:szCs w:val="24"/>
                  <w:u w:val="single" w:color="000000"/>
                </w:rPr>
                <w:t>Special Educational Needs in Mainstream Schools (EEF guidance report)</w:t>
              </w:r>
            </w:hyperlink>
          </w:p>
        </w:tc>
      </w:tr>
      <w:tr w:rsidR="00504C9B" w14:paraId="02CE265A" w14:textId="77777777" w:rsidTr="00F46CC2">
        <w:tc>
          <w:tcPr>
            <w:tcW w:w="2423" w:type="pct"/>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627FF7AB" w14:textId="77777777" w:rsidR="00504C9B" w:rsidRDefault="00000000">
            <w:r>
              <w:rPr>
                <w:color w:val="000000"/>
                <w:position w:val="-3"/>
                <w:sz w:val="24"/>
                <w:szCs w:val="24"/>
              </w:rPr>
              <w:lastRenderedPageBreak/>
              <w:t>Reception language screening plus targeted small‑group delivery of the Nuffield Early Language Intervention (NELI) or equivalent evidence‑based early language programme for pupils identified at screening. Screening increases early identification and the targeted small groups are evidence‑based approaches recommended by RISE/DFE and EEF for improving oral language and narrowing gaps. Principle: evidence‑based support prioritising early intervention. Barriers addressed: 2, 4</w:t>
            </w:r>
          </w:p>
        </w:tc>
        <w:tc>
          <w:tcPr>
            <w:tcW w:w="796" w:type="pct"/>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624D4C09" w14:textId="77777777" w:rsidR="00504C9B" w:rsidRDefault="00000000">
            <w:r>
              <w:rPr>
                <w:color w:val="000000"/>
                <w:position w:val="-3"/>
                <w:sz w:val="24"/>
                <w:szCs w:val="24"/>
              </w:rPr>
              <w:t>targeted</w:t>
            </w:r>
          </w:p>
        </w:tc>
        <w:tc>
          <w:tcPr>
            <w:tcW w:w="3330" w:type="dxa"/>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4A6AEB35" w14:textId="77777777" w:rsidR="00504C9B" w:rsidRDefault="00000000">
            <w:r>
              <w:rPr>
                <w:color w:val="000000"/>
                <w:position w:val="-3"/>
                <w:sz w:val="24"/>
                <w:szCs w:val="24"/>
              </w:rPr>
              <w:t xml:space="preserve">[School to confirm – IMF + core budget] </w:t>
            </w:r>
            <w:hyperlink r:id="rId11" w:history="1">
              <w:r>
                <w:rPr>
                  <w:rStyle w:val="DefaultParagraphFontPHPDOCX"/>
                  <w:color w:val="0000CC"/>
                  <w:position w:val="-3"/>
                  <w:sz w:val="24"/>
                  <w:szCs w:val="24"/>
                  <w:u w:val="single" w:color="000000"/>
                </w:rPr>
                <w:t>RISE support for inclusive mainstream education (DfE)</w:t>
              </w:r>
            </w:hyperlink>
            <w:r>
              <w:rPr>
                <w:color w:val="000000"/>
                <w:position w:val="-3"/>
                <w:sz w:val="24"/>
                <w:szCs w:val="24"/>
              </w:rPr>
              <w:t xml:space="preserve">, </w:t>
            </w:r>
            <w:hyperlink r:id="rId12" w:history="1">
              <w:r>
                <w:rPr>
                  <w:rStyle w:val="DefaultParagraphFontPHPDOCX"/>
                  <w:color w:val="0000CC"/>
                  <w:position w:val="-3"/>
                  <w:sz w:val="24"/>
                  <w:szCs w:val="24"/>
                  <w:u w:val="single" w:color="000000"/>
                </w:rPr>
                <w:t>Resource library for educators (Speech and Language UK)</w:t>
              </w:r>
            </w:hyperlink>
          </w:p>
        </w:tc>
      </w:tr>
      <w:tr w:rsidR="00504C9B" w14:paraId="249CBC24" w14:textId="77777777" w:rsidTr="00F46CC2">
        <w:tc>
          <w:tcPr>
            <w:tcW w:w="2423" w:type="pct"/>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39A1F2DC" w14:textId="77777777" w:rsidR="00504C9B" w:rsidRPr="00F46CC2" w:rsidRDefault="00000000">
            <w:pPr>
              <w:rPr>
                <w:sz w:val="21"/>
                <w:szCs w:val="21"/>
              </w:rPr>
            </w:pPr>
            <w:r w:rsidRPr="00F46CC2">
              <w:rPr>
                <w:color w:val="000000"/>
                <w:position w:val="-3"/>
                <w:sz w:val="21"/>
                <w:szCs w:val="21"/>
              </w:rPr>
              <w:t xml:space="preserve">Universal removal of practical barriers to </w:t>
            </w:r>
            <w:proofErr w:type="gramStart"/>
            <w:r w:rsidRPr="00F46CC2">
              <w:rPr>
                <w:color w:val="000000"/>
                <w:position w:val="-3"/>
                <w:sz w:val="21"/>
                <w:szCs w:val="21"/>
              </w:rPr>
              <w:t>enrichment:</w:t>
            </w:r>
            <w:proofErr w:type="gramEnd"/>
            <w:r w:rsidRPr="00F46CC2">
              <w:rPr>
                <w:color w:val="000000"/>
                <w:position w:val="-3"/>
                <w:sz w:val="21"/>
                <w:szCs w:val="21"/>
              </w:rPr>
              <w:t xml:space="preserve"> means‑tested subsidy and an inclusion fund to cover transport, trips, clubs, uniform support and targeted staffing to enable participation (explicitly ring‑fenced to remove cost or access barriers for eligible pupils). This follows DfE guidance to make enrichment </w:t>
            </w:r>
            <w:proofErr w:type="gramStart"/>
            <w:r w:rsidRPr="00F46CC2">
              <w:rPr>
                <w:color w:val="000000"/>
                <w:position w:val="-3"/>
                <w:sz w:val="21"/>
                <w:szCs w:val="21"/>
              </w:rPr>
              <w:t>accessible</w:t>
            </w:r>
            <w:proofErr w:type="gramEnd"/>
            <w:r w:rsidRPr="00F46CC2">
              <w:rPr>
                <w:color w:val="000000"/>
                <w:position w:val="-3"/>
                <w:sz w:val="21"/>
                <w:szCs w:val="21"/>
              </w:rPr>
              <w:t xml:space="preserve"> so all pupils benefit from beyond‑classroom provision. Principle: enriching provision beyond the classroom that all children can access. Barriers addressed: 1, 5</w:t>
            </w:r>
          </w:p>
        </w:tc>
        <w:tc>
          <w:tcPr>
            <w:tcW w:w="796" w:type="pct"/>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14EEA331" w14:textId="77777777" w:rsidR="00504C9B" w:rsidRDefault="00000000">
            <w:r>
              <w:rPr>
                <w:color w:val="000000"/>
                <w:position w:val="-3"/>
                <w:sz w:val="24"/>
                <w:szCs w:val="24"/>
              </w:rPr>
              <w:t>universal</w:t>
            </w:r>
          </w:p>
        </w:tc>
        <w:tc>
          <w:tcPr>
            <w:tcW w:w="3330" w:type="dxa"/>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21F73AF0" w14:textId="77777777" w:rsidR="00504C9B" w:rsidRDefault="00000000">
            <w:r>
              <w:rPr>
                <w:color w:val="000000"/>
                <w:position w:val="-3"/>
                <w:sz w:val="24"/>
                <w:szCs w:val="24"/>
              </w:rPr>
              <w:t xml:space="preserve">[School to confirm – IMF + core budget] </w:t>
            </w:r>
            <w:hyperlink r:id="rId13" w:history="1">
              <w:r>
                <w:rPr>
                  <w:rStyle w:val="DefaultParagraphFontPHPDOCX"/>
                  <w:color w:val="0000CC"/>
                  <w:position w:val="-3"/>
                  <w:sz w:val="24"/>
                  <w:szCs w:val="24"/>
                  <w:u w:val="single" w:color="000000"/>
                </w:rPr>
                <w:t>Inclusive mainstream fund: best practice for schools (DfE)</w:t>
              </w:r>
            </w:hyperlink>
          </w:p>
        </w:tc>
      </w:tr>
      <w:tr w:rsidR="00504C9B" w14:paraId="400CD7E7" w14:textId="77777777" w:rsidTr="00F46CC2">
        <w:tc>
          <w:tcPr>
            <w:tcW w:w="2423" w:type="pct"/>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2BEA7856" w14:textId="77777777" w:rsidR="00504C9B" w:rsidRDefault="00000000">
            <w:r>
              <w:rPr>
                <w:color w:val="000000"/>
                <w:position w:val="-3"/>
                <w:sz w:val="24"/>
                <w:szCs w:val="24"/>
              </w:rPr>
              <w:t xml:space="preserve">Strengthen whole‑school attendance and belonging approach: implement DfE attendance toolkit practises (regular monitoring using VYED, early‑warning </w:t>
            </w:r>
            <w:r>
              <w:rPr>
                <w:color w:val="000000"/>
                <w:position w:val="-3"/>
                <w:sz w:val="24"/>
                <w:szCs w:val="24"/>
              </w:rPr>
              <w:lastRenderedPageBreak/>
              <w:t>weekly tracker, parent communications, targeted attendance reviews), and train staff to understand SEND‑sensitive attendance approaches. This is the universal strand to reduce overall persistent absence. Principle: a safe and respectful culture fostering belonging, attendance, and participation in learning. Barriers addressed: 1, 3, 5</w:t>
            </w:r>
          </w:p>
        </w:tc>
        <w:tc>
          <w:tcPr>
            <w:tcW w:w="796" w:type="pct"/>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5D174B1D" w14:textId="77777777" w:rsidR="00504C9B" w:rsidRDefault="00000000">
            <w:r>
              <w:rPr>
                <w:color w:val="000000"/>
                <w:position w:val="-3"/>
                <w:sz w:val="24"/>
                <w:szCs w:val="24"/>
              </w:rPr>
              <w:lastRenderedPageBreak/>
              <w:t>universal</w:t>
            </w:r>
          </w:p>
        </w:tc>
        <w:tc>
          <w:tcPr>
            <w:tcW w:w="3330" w:type="dxa"/>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61A98980" w14:textId="77777777" w:rsidR="00504C9B" w:rsidRDefault="00000000">
            <w:r>
              <w:rPr>
                <w:color w:val="000000"/>
                <w:position w:val="-3"/>
                <w:sz w:val="24"/>
                <w:szCs w:val="24"/>
              </w:rPr>
              <w:t xml:space="preserve">[School to confirm – IMF + core budget] </w:t>
            </w:r>
            <w:hyperlink r:id="rId14" w:history="1">
              <w:r>
                <w:rPr>
                  <w:rStyle w:val="DefaultParagraphFontPHPDOCX"/>
                  <w:color w:val="0000CC"/>
                  <w:position w:val="-3"/>
                  <w:sz w:val="24"/>
                  <w:szCs w:val="24"/>
                  <w:u w:val="single" w:color="000000"/>
                </w:rPr>
                <w:t>Attendance toolkit for schools (DfE)</w:t>
              </w:r>
            </w:hyperlink>
            <w:r>
              <w:rPr>
                <w:color w:val="000000"/>
                <w:position w:val="-3"/>
                <w:sz w:val="24"/>
                <w:szCs w:val="24"/>
              </w:rPr>
              <w:t xml:space="preserve">, </w:t>
            </w:r>
            <w:hyperlink r:id="rId15" w:history="1">
              <w:r>
                <w:rPr>
                  <w:rStyle w:val="DefaultParagraphFontPHPDOCX"/>
                  <w:color w:val="0000CC"/>
                  <w:position w:val="-3"/>
                  <w:sz w:val="24"/>
                  <w:szCs w:val="24"/>
                  <w:u w:val="single" w:color="000000"/>
                </w:rPr>
                <w:t>RISE support for inclusive mainstream education (DfE)</w:t>
              </w:r>
            </w:hyperlink>
          </w:p>
        </w:tc>
      </w:tr>
      <w:tr w:rsidR="00504C9B" w14:paraId="365C92C1" w14:textId="77777777" w:rsidTr="00F46CC2">
        <w:tc>
          <w:tcPr>
            <w:tcW w:w="2423" w:type="pct"/>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47C3A20B" w14:textId="77777777" w:rsidR="00504C9B" w:rsidRDefault="00000000">
            <w:r>
              <w:rPr>
                <w:color w:val="000000"/>
                <w:position w:val="-3"/>
                <w:sz w:val="24"/>
                <w:szCs w:val="24"/>
              </w:rPr>
              <w:lastRenderedPageBreak/>
              <w:t>Targeted attendance mentoring and family engagement for persistently absent pupils (priority focus: pupil premium and those with emerging SEMH). This will use a named mentor, multi‑agency referral where needed and twice‑termly review. Principle: strong partnerships with families and wider services. Barriers addressed: 1, 3, 5</w:t>
            </w:r>
          </w:p>
        </w:tc>
        <w:tc>
          <w:tcPr>
            <w:tcW w:w="796" w:type="pct"/>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372C53C4" w14:textId="77777777" w:rsidR="00504C9B" w:rsidRDefault="00000000">
            <w:r>
              <w:rPr>
                <w:color w:val="000000"/>
                <w:position w:val="-3"/>
                <w:sz w:val="24"/>
                <w:szCs w:val="24"/>
              </w:rPr>
              <w:t>targeted</w:t>
            </w:r>
          </w:p>
        </w:tc>
        <w:tc>
          <w:tcPr>
            <w:tcW w:w="3330" w:type="dxa"/>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3A9662E4" w14:textId="77777777" w:rsidR="00504C9B" w:rsidRDefault="00000000">
            <w:r>
              <w:rPr>
                <w:color w:val="000000"/>
                <w:position w:val="-3"/>
                <w:sz w:val="24"/>
                <w:szCs w:val="24"/>
              </w:rPr>
              <w:t xml:space="preserve">[School to confirm – IMF + core budget] </w:t>
            </w:r>
            <w:hyperlink r:id="rId16" w:history="1">
              <w:r>
                <w:rPr>
                  <w:rStyle w:val="DefaultParagraphFontPHPDOCX"/>
                  <w:color w:val="0000CC"/>
                  <w:position w:val="-3"/>
                  <w:sz w:val="24"/>
                  <w:szCs w:val="24"/>
                  <w:u w:val="single" w:color="000000"/>
                </w:rPr>
                <w:t>Attendance toolkit for schools (DfE)</w:t>
              </w:r>
            </w:hyperlink>
            <w:r>
              <w:rPr>
                <w:color w:val="000000"/>
                <w:position w:val="-3"/>
                <w:sz w:val="24"/>
                <w:szCs w:val="24"/>
              </w:rPr>
              <w:t xml:space="preserve">, </w:t>
            </w:r>
            <w:hyperlink r:id="rId17" w:history="1">
              <w:r>
                <w:rPr>
                  <w:rStyle w:val="DefaultParagraphFontPHPDOCX"/>
                  <w:color w:val="0000CC"/>
                  <w:position w:val="-3"/>
                  <w:sz w:val="24"/>
                  <w:szCs w:val="24"/>
                  <w:u w:val="single" w:color="000000"/>
                </w:rPr>
                <w:t>RISE support for inclusive mainstream education (DfE)</w:t>
              </w:r>
            </w:hyperlink>
          </w:p>
        </w:tc>
      </w:tr>
      <w:tr w:rsidR="00504C9B" w14:paraId="5AC2E1A2" w14:textId="77777777" w:rsidTr="00F46CC2">
        <w:tc>
          <w:tcPr>
            <w:tcW w:w="2423" w:type="pct"/>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1876CC5C" w14:textId="77777777" w:rsidR="00504C9B" w:rsidRDefault="00000000">
            <w:r>
              <w:rPr>
                <w:color w:val="000000"/>
                <w:position w:val="-3"/>
                <w:sz w:val="24"/>
                <w:szCs w:val="24"/>
              </w:rPr>
              <w:t>Inclusive environments audit and improvements: carry out an accessibility and sensory audit, create visual supports (visual timetables, clear signage, communication aids), and invest in a small ‘adaptation station’ (lighting/acoustic adjustments, sensory tools) to reduce sensory overload and support regulation. Use Speech and Language UK classroom resources to support communication‑friendly classrooms. Principle: inclusive environments with continuous improvements to accessibility. Barriers addressed: 2, 3, 4, 5</w:t>
            </w:r>
          </w:p>
        </w:tc>
        <w:tc>
          <w:tcPr>
            <w:tcW w:w="796" w:type="pct"/>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208A9B86" w14:textId="77777777" w:rsidR="00504C9B" w:rsidRDefault="00000000">
            <w:r>
              <w:rPr>
                <w:color w:val="000000"/>
                <w:position w:val="-3"/>
                <w:sz w:val="24"/>
                <w:szCs w:val="24"/>
              </w:rPr>
              <w:t>universal</w:t>
            </w:r>
          </w:p>
        </w:tc>
        <w:tc>
          <w:tcPr>
            <w:tcW w:w="3330" w:type="dxa"/>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007D1CB4" w14:textId="77777777" w:rsidR="00504C9B" w:rsidRDefault="00000000">
            <w:r>
              <w:rPr>
                <w:color w:val="000000"/>
                <w:position w:val="-3"/>
                <w:sz w:val="24"/>
                <w:szCs w:val="24"/>
              </w:rPr>
              <w:t xml:space="preserve">[School to confirm – IMF + core budget] </w:t>
            </w:r>
            <w:hyperlink r:id="rId18" w:history="1">
              <w:r>
                <w:rPr>
                  <w:rStyle w:val="DefaultParagraphFontPHPDOCX"/>
                  <w:color w:val="0000CC"/>
                  <w:position w:val="-3"/>
                  <w:sz w:val="24"/>
                  <w:szCs w:val="24"/>
                  <w:u w:val="single" w:color="000000"/>
                </w:rPr>
                <w:t>Inclusive mainstream fund: best practice for schools (DfE)</w:t>
              </w:r>
            </w:hyperlink>
            <w:r>
              <w:rPr>
                <w:color w:val="000000"/>
                <w:position w:val="-3"/>
                <w:sz w:val="24"/>
                <w:szCs w:val="24"/>
              </w:rPr>
              <w:t xml:space="preserve">, </w:t>
            </w:r>
            <w:hyperlink r:id="rId19" w:history="1">
              <w:r>
                <w:rPr>
                  <w:rStyle w:val="DefaultParagraphFontPHPDOCX"/>
                  <w:color w:val="0000CC"/>
                  <w:position w:val="-3"/>
                  <w:sz w:val="24"/>
                  <w:szCs w:val="24"/>
                  <w:u w:val="single" w:color="000000"/>
                </w:rPr>
                <w:t>Resource library for educators (Speech and Language UK)</w:t>
              </w:r>
            </w:hyperlink>
          </w:p>
        </w:tc>
      </w:tr>
    </w:tbl>
    <w:p w14:paraId="39E8846E" w14:textId="77777777" w:rsidR="00F46CC2" w:rsidRDefault="00F46CC2">
      <w:pPr>
        <w:spacing w:before="240" w:after="240"/>
        <w:rPr>
          <w:color w:val="000000"/>
          <w:sz w:val="24"/>
          <w:szCs w:val="24"/>
        </w:rPr>
      </w:pPr>
    </w:p>
    <w:p w14:paraId="263B85F9" w14:textId="77777777" w:rsidR="00F46CC2" w:rsidRDefault="00F46CC2">
      <w:pPr>
        <w:spacing w:before="240" w:after="240"/>
        <w:rPr>
          <w:color w:val="000000"/>
          <w:sz w:val="24"/>
          <w:szCs w:val="24"/>
        </w:rPr>
      </w:pPr>
    </w:p>
    <w:p w14:paraId="1F600573" w14:textId="77777777" w:rsidR="00F46CC2" w:rsidRDefault="00F46CC2">
      <w:pPr>
        <w:spacing w:before="240" w:after="240"/>
        <w:rPr>
          <w:color w:val="000000"/>
          <w:sz w:val="24"/>
          <w:szCs w:val="24"/>
        </w:rPr>
      </w:pPr>
    </w:p>
    <w:p w14:paraId="27433243" w14:textId="77777777" w:rsidR="00F46CC2" w:rsidRDefault="00F46CC2">
      <w:pPr>
        <w:spacing w:before="240" w:after="240"/>
        <w:rPr>
          <w:color w:val="000000"/>
          <w:sz w:val="24"/>
          <w:szCs w:val="24"/>
        </w:rPr>
      </w:pPr>
    </w:p>
    <w:p w14:paraId="12CC9036" w14:textId="77777777" w:rsidR="00F46CC2" w:rsidRDefault="00F46CC2">
      <w:pPr>
        <w:spacing w:before="240" w:after="240"/>
        <w:rPr>
          <w:color w:val="000000"/>
          <w:sz w:val="24"/>
          <w:szCs w:val="24"/>
        </w:rPr>
      </w:pPr>
    </w:p>
    <w:p w14:paraId="7FFB5BDF" w14:textId="77777777" w:rsidR="00504C9B" w:rsidRDefault="00000000">
      <w:pPr>
        <w:numPr>
          <w:ilvl w:val="0"/>
          <w:numId w:val="13"/>
        </w:numPr>
        <w:rPr>
          <w:color w:val="000000"/>
          <w:sz w:val="24"/>
          <w:szCs w:val="24"/>
        </w:rPr>
      </w:pPr>
      <w:r>
        <w:rPr>
          <w:color w:val="000000"/>
          <w:sz w:val="24"/>
          <w:szCs w:val="24"/>
        </w:rPr>
        <w:lastRenderedPageBreak/>
        <w:t>Intended Outcomes</w:t>
      </w:r>
    </w:p>
    <w:p w14:paraId="690070EC" w14:textId="77777777" w:rsidR="00504C9B" w:rsidRDefault="00000000">
      <w:pPr>
        <w:spacing w:before="240" w:after="240"/>
      </w:pPr>
      <w:r>
        <w:rPr>
          <w:color w:val="000000"/>
          <w:sz w:val="24"/>
          <w:szCs w:val="24"/>
        </w:rPr>
        <w:t>This explains the clear, realistic outcomes we want our inclusive approaches to achieve by the end of our inclusion strategy, and how we will measure whether they have been achieved.</w:t>
      </w:r>
    </w:p>
    <w:tbl>
      <w:tblPr>
        <w:tblStyle w:val="NormalTablePHPDOCX"/>
        <w:tblW w:w="5000" w:type="pct"/>
        <w:tblBorders>
          <w:top w:val="single" w:sz="5" w:space="0" w:color="000000"/>
          <w:left w:val="single" w:sz="5" w:space="0" w:color="000000"/>
          <w:bottom w:val="single" w:sz="5" w:space="0" w:color="000000"/>
          <w:right w:val="single" w:sz="5" w:space="0" w:color="000000"/>
        </w:tblBorders>
        <w:tblCellMar>
          <w:left w:w="0" w:type="dxa"/>
          <w:right w:w="0" w:type="dxa"/>
        </w:tblCellMar>
        <w:tblLook w:val="04A0" w:firstRow="1" w:lastRow="0" w:firstColumn="1" w:lastColumn="0" w:noHBand="0" w:noVBand="1"/>
      </w:tblPr>
      <w:tblGrid>
        <w:gridCol w:w="2387"/>
        <w:gridCol w:w="6961"/>
      </w:tblGrid>
      <w:tr w:rsidR="00504C9B" w14:paraId="674F276B" w14:textId="77777777">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50F8F1C3" w14:textId="77777777" w:rsidR="00504C9B" w:rsidRDefault="00000000">
            <w:pPr>
              <w:jc w:val="center"/>
            </w:pPr>
            <w:r>
              <w:rPr>
                <w:b/>
                <w:bCs/>
                <w:color w:val="000000"/>
                <w:position w:val="-3"/>
                <w:sz w:val="24"/>
                <w:szCs w:val="24"/>
              </w:rPr>
              <w:t>Intended outcome</w:t>
            </w:r>
          </w:p>
        </w:tc>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795FB27C" w14:textId="77777777" w:rsidR="00504C9B" w:rsidRDefault="00000000">
            <w:pPr>
              <w:jc w:val="center"/>
            </w:pPr>
            <w:r>
              <w:rPr>
                <w:b/>
                <w:bCs/>
                <w:color w:val="000000"/>
                <w:position w:val="-3"/>
                <w:sz w:val="24"/>
                <w:szCs w:val="24"/>
              </w:rPr>
              <w:t>Success criteria</w:t>
            </w:r>
          </w:p>
        </w:tc>
      </w:tr>
      <w:tr w:rsidR="00504C9B" w14:paraId="3B5E4143" w14:textId="77777777">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62A8351F" w14:textId="77777777" w:rsidR="00504C9B" w:rsidRDefault="00000000">
            <w:r>
              <w:rPr>
                <w:color w:val="000000"/>
                <w:position w:val="-3"/>
                <w:sz w:val="24"/>
                <w:szCs w:val="24"/>
              </w:rPr>
              <w:t>Improved universal quality of teaching so pupils with additional needs make expected progress</w:t>
            </w:r>
          </w:p>
        </w:tc>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6A0ACCC3" w14:textId="77777777" w:rsidR="00504C9B" w:rsidRDefault="00000000">
            <w:r>
              <w:rPr>
                <w:color w:val="000000"/>
                <w:position w:val="-3"/>
                <w:sz w:val="24"/>
                <w:szCs w:val="24"/>
              </w:rPr>
              <w:t xml:space="preserve">- Termly pupil‑level progress data shows at least 75% of pupils with SEND meet their personalised targets in reading and maths by end of year (measured via termly standardised assessments and teacher‑assessed targets). - Lesson observation and coaching records show 90% of lessons demonstrate at least two adaptive strategies from the EEF ‘Five‑a‑day’. </w:t>
            </w:r>
            <w:hyperlink r:id="rId20" w:history="1">
              <w:r>
                <w:rPr>
                  <w:rStyle w:val="DefaultParagraphFontPHPDOCX"/>
                  <w:color w:val="0000CC"/>
                  <w:position w:val="-3"/>
                  <w:sz w:val="24"/>
                  <w:szCs w:val="24"/>
                  <w:u w:val="single" w:color="000000"/>
                </w:rPr>
                <w:t>Special Educational Needs in Mainstream Schools (EEF guidance report)</w:t>
              </w:r>
            </w:hyperlink>
          </w:p>
        </w:tc>
      </w:tr>
      <w:tr w:rsidR="00504C9B" w14:paraId="66D3C748" w14:textId="77777777">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29FA7AD0" w14:textId="77777777" w:rsidR="00504C9B" w:rsidRDefault="00000000">
            <w:r>
              <w:rPr>
                <w:color w:val="000000"/>
                <w:position w:val="-3"/>
                <w:sz w:val="24"/>
                <w:szCs w:val="24"/>
              </w:rPr>
              <w:t>Faster early identification and improved language outcomes for young pupils</w:t>
            </w:r>
          </w:p>
        </w:tc>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09463E61" w14:textId="77777777" w:rsidR="00504C9B" w:rsidRDefault="00000000">
            <w:r>
              <w:rPr>
                <w:color w:val="000000"/>
                <w:position w:val="-3"/>
                <w:sz w:val="24"/>
                <w:szCs w:val="24"/>
              </w:rPr>
              <w:t xml:space="preserve">- Reception screening completed for 100% of cohort in first half‑term. - Pupils receiving the targeted language programme show measurable gains: average +4 months oral language progress at programme exit (benchmark from NELI evidence) and improved access to phonics in KS1. Progress monitored with baseline/exit checks. </w:t>
            </w:r>
            <w:hyperlink r:id="rId21" w:history="1">
              <w:r>
                <w:rPr>
                  <w:rStyle w:val="DefaultParagraphFontPHPDOCX"/>
                  <w:color w:val="0000CC"/>
                  <w:position w:val="-3"/>
                  <w:sz w:val="24"/>
                  <w:szCs w:val="24"/>
                  <w:u w:val="single" w:color="000000"/>
                </w:rPr>
                <w:t>RISE support for inclusive mainstream education (DfE)</w:t>
              </w:r>
            </w:hyperlink>
            <w:r>
              <w:rPr>
                <w:color w:val="000000"/>
                <w:position w:val="-3"/>
                <w:sz w:val="24"/>
                <w:szCs w:val="24"/>
              </w:rPr>
              <w:t xml:space="preserve">, </w:t>
            </w:r>
            <w:hyperlink r:id="rId22" w:history="1">
              <w:r>
                <w:rPr>
                  <w:rStyle w:val="DefaultParagraphFontPHPDOCX"/>
                  <w:color w:val="0000CC"/>
                  <w:position w:val="-3"/>
                  <w:sz w:val="24"/>
                  <w:szCs w:val="24"/>
                  <w:u w:val="single" w:color="000000"/>
                </w:rPr>
                <w:t>Resource library for educators (Speech and Language UK)</w:t>
              </w:r>
            </w:hyperlink>
          </w:p>
        </w:tc>
      </w:tr>
      <w:tr w:rsidR="00504C9B" w14:paraId="22731D8C" w14:textId="77777777">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65911043" w14:textId="77777777" w:rsidR="00504C9B" w:rsidRDefault="00000000">
            <w:r>
              <w:rPr>
                <w:color w:val="000000"/>
                <w:position w:val="-3"/>
                <w:sz w:val="24"/>
                <w:szCs w:val="24"/>
              </w:rPr>
              <w:t>Increased participation in enrichment and parity of access for disadvantaged pupils</w:t>
            </w:r>
          </w:p>
        </w:tc>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0929C4E4" w14:textId="77777777" w:rsidR="00504C9B" w:rsidRDefault="00000000">
            <w:r>
              <w:rPr>
                <w:color w:val="000000"/>
                <w:position w:val="-3"/>
                <w:sz w:val="24"/>
                <w:szCs w:val="24"/>
              </w:rPr>
              <w:t xml:space="preserve">- Uptake data: percentage of disadvantaged pupils attending at least one club/trip rises to match non‑disadvantaged cohort (baseline to be recorded at strategy start). - Monitoring of take‑up and barrier reasons (family contact logs) shows removal of cost/transport as top barrier for funded pupils. </w:t>
            </w:r>
            <w:hyperlink r:id="rId23" w:history="1">
              <w:r>
                <w:rPr>
                  <w:rStyle w:val="DefaultParagraphFontPHPDOCX"/>
                  <w:color w:val="0000CC"/>
                  <w:position w:val="-3"/>
                  <w:sz w:val="24"/>
                  <w:szCs w:val="24"/>
                  <w:u w:val="single" w:color="000000"/>
                </w:rPr>
                <w:t>Inclusive mainstream fund: best practice for schools (DfE)</w:t>
              </w:r>
            </w:hyperlink>
          </w:p>
        </w:tc>
      </w:tr>
      <w:tr w:rsidR="00504C9B" w14:paraId="15BA858B" w14:textId="77777777">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3541389C" w14:textId="77777777" w:rsidR="00504C9B" w:rsidRDefault="00000000">
            <w:r>
              <w:rPr>
                <w:color w:val="000000"/>
                <w:position w:val="-3"/>
                <w:sz w:val="24"/>
                <w:szCs w:val="24"/>
              </w:rPr>
              <w:t>Reduced persistent absence and improved sense of belonging</w:t>
            </w:r>
          </w:p>
        </w:tc>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22258DB8" w14:textId="77777777" w:rsidR="00504C9B" w:rsidRPr="00F46CC2" w:rsidRDefault="00000000">
            <w:pPr>
              <w:rPr>
                <w:sz w:val="18"/>
                <w:szCs w:val="18"/>
              </w:rPr>
            </w:pPr>
            <w:r w:rsidRPr="00F46CC2">
              <w:rPr>
                <w:color w:val="000000"/>
                <w:position w:val="-3"/>
                <w:sz w:val="18"/>
                <w:szCs w:val="18"/>
              </w:rPr>
              <w:t xml:space="preserve">- Overall persistent absence reduced from 16.2% (baseline) to ≤10% by the strategy review date; overall attendance maintained at ≥97%. - Persistent absence for pupil premium pupils reduced from 32.4% (baseline Oct figure) to ≤16% through targeted mentoring and family engagement. Attendance monitored weekly using the DfE toolkit and VYED reporting; individual plans reviewed at least every 4 weeks. </w:t>
            </w:r>
            <w:hyperlink r:id="rId24" w:history="1">
              <w:r w:rsidRPr="00F46CC2">
                <w:rPr>
                  <w:rStyle w:val="DefaultParagraphFontPHPDOCX"/>
                  <w:color w:val="0000CC"/>
                  <w:position w:val="-3"/>
                  <w:sz w:val="18"/>
                  <w:szCs w:val="18"/>
                  <w:u w:val="single" w:color="000000"/>
                </w:rPr>
                <w:t>Attendance toolkit for schools (DfE)</w:t>
              </w:r>
            </w:hyperlink>
          </w:p>
        </w:tc>
      </w:tr>
      <w:tr w:rsidR="00504C9B" w14:paraId="509DC908" w14:textId="77777777">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2FA1D3BA" w14:textId="77777777" w:rsidR="00504C9B" w:rsidRDefault="00000000">
            <w:r>
              <w:rPr>
                <w:color w:val="000000"/>
                <w:position w:val="-3"/>
                <w:sz w:val="24"/>
                <w:szCs w:val="24"/>
              </w:rPr>
              <w:t>Improved regulation, communication and reduced classroom barriers</w:t>
            </w:r>
          </w:p>
        </w:tc>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6E44632E" w14:textId="77777777" w:rsidR="00504C9B" w:rsidRDefault="00000000">
            <w:r>
              <w:rPr>
                <w:color w:val="000000"/>
                <w:position w:val="-3"/>
                <w:sz w:val="24"/>
                <w:szCs w:val="24"/>
              </w:rPr>
              <w:t xml:space="preserve">- School environment audit completed and actioned; visual supports present in 100% of classrooms. - Teacher and pupil surveys show improved sense of belonging and regulation (termly pupil voice: target net positive response increase of 20%). Reduction in incidents recorded as ‘behaviour hindering access to learning’ measured termly. </w:t>
            </w:r>
            <w:hyperlink r:id="rId25" w:history="1">
              <w:r>
                <w:rPr>
                  <w:rStyle w:val="DefaultParagraphFontPHPDOCX"/>
                  <w:color w:val="0000CC"/>
                  <w:position w:val="-3"/>
                  <w:sz w:val="24"/>
                  <w:szCs w:val="24"/>
                  <w:u w:val="single" w:color="000000"/>
                </w:rPr>
                <w:t xml:space="preserve">Inclusive mainstream </w:t>
              </w:r>
              <w:r>
                <w:rPr>
                  <w:rStyle w:val="DefaultParagraphFontPHPDOCX"/>
                  <w:color w:val="0000CC"/>
                  <w:position w:val="-3"/>
                  <w:sz w:val="24"/>
                  <w:szCs w:val="24"/>
                  <w:u w:val="single" w:color="000000"/>
                </w:rPr>
                <w:lastRenderedPageBreak/>
                <w:t>fund: best practice for schools (DfE)</w:t>
              </w:r>
            </w:hyperlink>
            <w:r>
              <w:rPr>
                <w:color w:val="000000"/>
                <w:position w:val="-3"/>
                <w:sz w:val="24"/>
                <w:szCs w:val="24"/>
              </w:rPr>
              <w:t xml:space="preserve">, </w:t>
            </w:r>
            <w:hyperlink r:id="rId26" w:history="1">
              <w:r>
                <w:rPr>
                  <w:rStyle w:val="DefaultParagraphFontPHPDOCX"/>
                  <w:color w:val="0000CC"/>
                  <w:position w:val="-3"/>
                  <w:sz w:val="24"/>
                  <w:szCs w:val="24"/>
                  <w:u w:val="single" w:color="000000"/>
                </w:rPr>
                <w:t>Resource library for educators (Speech and Language UK)</w:t>
              </w:r>
            </w:hyperlink>
          </w:p>
        </w:tc>
      </w:tr>
    </w:tbl>
    <w:p w14:paraId="50361258" w14:textId="77777777" w:rsidR="00504C9B" w:rsidRDefault="00000000">
      <w:pPr>
        <w:spacing w:before="240" w:after="240"/>
      </w:pPr>
      <w:r>
        <w:rPr>
          <w:color w:val="000000"/>
          <w:sz w:val="24"/>
          <w:szCs w:val="24"/>
        </w:rPr>
        <w:lastRenderedPageBreak/>
        <w:t>Monitoring and governance</w:t>
      </w:r>
    </w:p>
    <w:p w14:paraId="456A9D06" w14:textId="77777777" w:rsidR="00504C9B" w:rsidRDefault="00000000">
      <w:pPr>
        <w:numPr>
          <w:ilvl w:val="0"/>
          <w:numId w:val="8"/>
        </w:numPr>
        <w:rPr>
          <w:color w:val="000000"/>
          <w:sz w:val="24"/>
          <w:szCs w:val="24"/>
        </w:rPr>
      </w:pPr>
      <w:r>
        <w:rPr>
          <w:color w:val="000000"/>
          <w:sz w:val="24"/>
          <w:szCs w:val="24"/>
        </w:rPr>
        <w:t>The SENCO will lead day‑to‑day monitoring; SLT will review activity and impact termly. Governors (inclusion link) will receive a mid‑year and end‑year report mapping spend to the 7 principles and reporting progress against the Intended Outcomes measures. We will keep baseline measures (attendance, persistent absence, screening results, participation data, behaviour incidents and termly assessment data) so next year’s review can report like‑for‑like change.</w:t>
      </w:r>
    </w:p>
    <w:p w14:paraId="2616CDF7" w14:textId="77777777" w:rsidR="00504C9B" w:rsidRDefault="00000000">
      <w:pPr>
        <w:spacing w:before="240" w:after="240"/>
      </w:pPr>
      <w:r>
        <w:rPr>
          <w:color w:val="000000"/>
          <w:sz w:val="24"/>
          <w:szCs w:val="24"/>
        </w:rPr>
        <w:t>Key evidence sources used to design the strategy</w:t>
      </w:r>
    </w:p>
    <w:p w14:paraId="53E84DF4" w14:textId="77777777" w:rsidR="00504C9B" w:rsidRDefault="00000000">
      <w:pPr>
        <w:numPr>
          <w:ilvl w:val="0"/>
          <w:numId w:val="8"/>
        </w:numPr>
        <w:rPr>
          <w:color w:val="000000"/>
          <w:sz w:val="24"/>
          <w:szCs w:val="24"/>
        </w:rPr>
      </w:pPr>
      <w:r>
        <w:rPr>
          <w:color w:val="000000"/>
          <w:sz w:val="24"/>
          <w:szCs w:val="24"/>
        </w:rPr>
        <w:t xml:space="preserve">Inclusive mainstream fund: best practice for schools (DfE) — </w:t>
      </w:r>
      <w:hyperlink r:id="rId27" w:history="1">
        <w:r>
          <w:rPr>
            <w:rStyle w:val="DefaultParagraphFontPHPDOCX"/>
            <w:color w:val="0000CC"/>
            <w:sz w:val="24"/>
            <w:szCs w:val="24"/>
            <w:u w:val="single" w:color="000000"/>
          </w:rPr>
          <w:t>https://www.gov.uk/government/publications/inclusive-mainstream-fund-support-for-school-leaders/inclusive-mainstream-fund-best-practice-for-schools</w:t>
        </w:r>
      </w:hyperlink>
    </w:p>
    <w:p w14:paraId="12035F96" w14:textId="77777777" w:rsidR="00504C9B" w:rsidRDefault="00000000">
      <w:pPr>
        <w:numPr>
          <w:ilvl w:val="0"/>
          <w:numId w:val="8"/>
        </w:numPr>
        <w:rPr>
          <w:color w:val="000000"/>
          <w:sz w:val="24"/>
          <w:szCs w:val="24"/>
        </w:rPr>
      </w:pPr>
      <w:r>
        <w:rPr>
          <w:color w:val="000000"/>
          <w:sz w:val="24"/>
          <w:szCs w:val="24"/>
        </w:rPr>
        <w:t xml:space="preserve">RISE support for inclusive mainstream education (DfE) — </w:t>
      </w:r>
      <w:hyperlink r:id="rId28" w:history="1">
        <w:r>
          <w:rPr>
            <w:rStyle w:val="DefaultParagraphFontPHPDOCX"/>
            <w:color w:val="0000CC"/>
            <w:sz w:val="24"/>
            <w:szCs w:val="24"/>
            <w:u w:val="single" w:color="000000"/>
          </w:rPr>
          <w:t>https://www.gov.uk/government/publications/rise-support-for-inclusive-mainstream-education/rise-support-for-inclusive-mainstream-education</w:t>
        </w:r>
      </w:hyperlink>
    </w:p>
    <w:p w14:paraId="2676BE15" w14:textId="77777777" w:rsidR="00504C9B" w:rsidRDefault="00000000">
      <w:pPr>
        <w:numPr>
          <w:ilvl w:val="0"/>
          <w:numId w:val="8"/>
        </w:numPr>
        <w:rPr>
          <w:color w:val="000000"/>
          <w:sz w:val="24"/>
          <w:szCs w:val="24"/>
        </w:rPr>
      </w:pPr>
      <w:r>
        <w:rPr>
          <w:color w:val="000000"/>
          <w:sz w:val="24"/>
          <w:szCs w:val="24"/>
        </w:rPr>
        <w:t xml:space="preserve">Special Educational Needs in Mainstream Schools (EEF guidance report) — </w:t>
      </w:r>
      <w:hyperlink r:id="rId29" w:history="1">
        <w:r>
          <w:rPr>
            <w:rStyle w:val="DefaultParagraphFontPHPDOCX"/>
            <w:color w:val="0000CC"/>
            <w:sz w:val="24"/>
            <w:szCs w:val="24"/>
            <w:u w:val="single" w:color="000000"/>
          </w:rPr>
          <w:t>https://educationendowmentfoundation.org.uk/education-evidence/guidance-reports/send</w:t>
        </w:r>
      </w:hyperlink>
    </w:p>
    <w:p w14:paraId="3466F522" w14:textId="77777777" w:rsidR="00504C9B" w:rsidRDefault="00000000">
      <w:pPr>
        <w:numPr>
          <w:ilvl w:val="0"/>
          <w:numId w:val="8"/>
        </w:numPr>
        <w:rPr>
          <w:color w:val="000000"/>
          <w:sz w:val="24"/>
          <w:szCs w:val="24"/>
        </w:rPr>
      </w:pPr>
      <w:r>
        <w:rPr>
          <w:color w:val="000000"/>
          <w:sz w:val="24"/>
          <w:szCs w:val="24"/>
        </w:rPr>
        <w:t xml:space="preserve">Attendance toolkit for schools (DfE) — </w:t>
      </w:r>
      <w:hyperlink r:id="rId30" w:history="1">
        <w:r>
          <w:rPr>
            <w:rStyle w:val="DefaultParagraphFontPHPDOCX"/>
            <w:color w:val="0000CC"/>
            <w:sz w:val="24"/>
            <w:szCs w:val="24"/>
            <w:u w:val="single" w:color="000000"/>
          </w:rPr>
          <w:t>https://attendancetoolkit.blob.core.windows.net/toolkit-doc/Attendance%20toolkit%20for%20schools.pdf</w:t>
        </w:r>
      </w:hyperlink>
    </w:p>
    <w:p w14:paraId="6CD6FA75" w14:textId="77777777" w:rsidR="00504C9B" w:rsidRDefault="00000000">
      <w:pPr>
        <w:numPr>
          <w:ilvl w:val="0"/>
          <w:numId w:val="8"/>
        </w:numPr>
        <w:rPr>
          <w:color w:val="000000"/>
          <w:sz w:val="24"/>
          <w:szCs w:val="24"/>
        </w:rPr>
      </w:pPr>
      <w:r>
        <w:rPr>
          <w:color w:val="000000"/>
          <w:sz w:val="24"/>
          <w:szCs w:val="24"/>
        </w:rPr>
        <w:t xml:space="preserve">Resource library for educators (Speech and Language UK) — </w:t>
      </w:r>
      <w:hyperlink r:id="rId31" w:history="1">
        <w:r>
          <w:rPr>
            <w:rStyle w:val="DefaultParagraphFontPHPDOCX"/>
            <w:color w:val="0000CC"/>
            <w:sz w:val="24"/>
            <w:szCs w:val="24"/>
            <w:u w:val="single" w:color="000000"/>
          </w:rPr>
          <w:t>https://speechandlanguage.org.uk/educators-and-professionals/resource-library-for-educators/</w:t>
        </w:r>
      </w:hyperlink>
    </w:p>
    <w:p w14:paraId="0E5343EE" w14:textId="7ED1B130" w:rsidR="00504C9B" w:rsidRDefault="00504C9B">
      <w:pPr>
        <w:spacing w:before="240" w:after="240"/>
      </w:pPr>
    </w:p>
    <w:sectPr w:rsidR="00504C9B" w:rsidSect="00F46CC2">
      <w:headerReference w:type="default" r:id="rId32"/>
      <w:footerReference w:type="default" r:id="rId33"/>
      <w:pgSz w:w="12240" w:h="15840"/>
      <w:pgMar w:top="1440" w:right="1440" w:bottom="1440" w:left="1440" w:header="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1656EE" w14:textId="77777777" w:rsidR="000F3102" w:rsidRDefault="000F3102">
      <w:r>
        <w:separator/>
      </w:r>
    </w:p>
  </w:endnote>
  <w:endnote w:type="continuationSeparator" w:id="0">
    <w:p w14:paraId="23AD63CD" w14:textId="77777777" w:rsidR="000F3102" w:rsidRDefault="000F31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7274E" w14:textId="63BAC2C0" w:rsidR="00A41D13" w:rsidRDefault="00A41D13">
    <w:pPr>
      <w:spacing w:after="10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107157" w14:textId="77777777" w:rsidR="000F3102" w:rsidRDefault="000F3102">
      <w:r>
        <w:separator/>
      </w:r>
    </w:p>
  </w:footnote>
  <w:footnote w:type="continuationSeparator" w:id="0">
    <w:p w14:paraId="182B5B7C" w14:textId="77777777" w:rsidR="000F3102" w:rsidRDefault="000F31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29A00" w14:textId="77777777" w:rsidR="00F46CC2" w:rsidRPr="00F46CC2" w:rsidRDefault="00F46CC2" w:rsidP="00F46CC2">
    <w:pPr>
      <w:pStyle w:val="Heading1"/>
      <w:jc w:val="center"/>
      <w:rPr>
        <w:color w:val="00B050"/>
        <w:sz w:val="24"/>
        <w:szCs w:val="24"/>
      </w:rPr>
    </w:pPr>
    <w:bookmarkStart w:id="0" w:name="_Toc400361362"/>
    <w:bookmarkStart w:id="1" w:name="_Toc443397153"/>
    <w:r w:rsidRPr="00F46CC2">
      <w:rPr>
        <w:color w:val="00B050"/>
        <w:sz w:val="24"/>
        <w:szCs w:val="24"/>
      </w:rPr>
      <w:t>Inclusion Strategy</w:t>
    </w:r>
    <w:r w:rsidRPr="00F46CC2">
      <w:rPr>
        <w:color w:val="00B050"/>
        <w:sz w:val="24"/>
        <w:szCs w:val="24"/>
      </w:rPr>
      <w:t xml:space="preserve"> </w:t>
    </w:r>
    <w:r w:rsidRPr="00F46CC2">
      <w:rPr>
        <w:color w:val="00B050"/>
        <w:sz w:val="24"/>
        <w:szCs w:val="24"/>
      </w:rPr>
      <w:t>S</w:t>
    </w:r>
    <w:r w:rsidRPr="00F46CC2">
      <w:rPr>
        <w:color w:val="00B050"/>
        <w:sz w:val="24"/>
        <w:szCs w:val="24"/>
      </w:rPr>
      <w:t>tatement</w:t>
    </w:r>
    <w:bookmarkEnd w:id="0"/>
    <w:bookmarkEnd w:id="1"/>
  </w:p>
  <w:p w14:paraId="6D7D2B4E" w14:textId="4DE9DE4E" w:rsidR="00A41D13" w:rsidRPr="00F46CC2" w:rsidRDefault="00F46CC2" w:rsidP="00F46CC2">
    <w:pPr>
      <w:pStyle w:val="Heading1"/>
      <w:jc w:val="center"/>
      <w:rPr>
        <w:color w:val="00B050"/>
        <w:sz w:val="24"/>
        <w:szCs w:val="24"/>
      </w:rPr>
    </w:pPr>
    <w:r w:rsidRPr="00F46CC2">
      <w:rPr>
        <w:color w:val="00B050"/>
        <w:sz w:val="24"/>
        <w:szCs w:val="24"/>
      </w:rPr>
      <w:t>Lunt’s Heath Primary School 2026-2027</w:t>
    </w:r>
  </w:p>
  <w:p w14:paraId="75F33E60" w14:textId="77777777" w:rsidR="00A41D13" w:rsidRDefault="00A41D1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67039"/>
    <w:multiLevelType w:val="hybridMultilevel"/>
    <w:tmpl w:val="103ACFF8"/>
    <w:lvl w:ilvl="0" w:tplc="92021808">
      <w:start w:val="1"/>
      <w:numFmt w:val="decimal"/>
      <w:lvlText w:val="%1."/>
      <w:lvlJc w:val="left"/>
      <w:pPr>
        <w:ind w:left="720" w:hanging="360"/>
      </w:pPr>
    </w:lvl>
    <w:lvl w:ilvl="1" w:tplc="92021808" w:tentative="1">
      <w:start w:val="1"/>
      <w:numFmt w:val="lowerLetter"/>
      <w:lvlText w:val="%2."/>
      <w:lvlJc w:val="left"/>
      <w:pPr>
        <w:ind w:left="1440" w:hanging="360"/>
      </w:pPr>
    </w:lvl>
    <w:lvl w:ilvl="2" w:tplc="92021808" w:tentative="1">
      <w:start w:val="1"/>
      <w:numFmt w:val="lowerRoman"/>
      <w:lvlText w:val="%3."/>
      <w:lvlJc w:val="right"/>
      <w:pPr>
        <w:ind w:left="2160" w:hanging="180"/>
      </w:pPr>
    </w:lvl>
    <w:lvl w:ilvl="3" w:tplc="92021808" w:tentative="1">
      <w:start w:val="1"/>
      <w:numFmt w:val="decimal"/>
      <w:lvlText w:val="%4."/>
      <w:lvlJc w:val="left"/>
      <w:pPr>
        <w:ind w:left="2880" w:hanging="360"/>
      </w:pPr>
    </w:lvl>
    <w:lvl w:ilvl="4" w:tplc="92021808" w:tentative="1">
      <w:start w:val="1"/>
      <w:numFmt w:val="lowerLetter"/>
      <w:lvlText w:val="%5."/>
      <w:lvlJc w:val="left"/>
      <w:pPr>
        <w:ind w:left="3600" w:hanging="360"/>
      </w:pPr>
    </w:lvl>
    <w:lvl w:ilvl="5" w:tplc="92021808" w:tentative="1">
      <w:start w:val="1"/>
      <w:numFmt w:val="lowerRoman"/>
      <w:lvlText w:val="%6."/>
      <w:lvlJc w:val="right"/>
      <w:pPr>
        <w:ind w:left="4320" w:hanging="180"/>
      </w:pPr>
    </w:lvl>
    <w:lvl w:ilvl="6" w:tplc="92021808" w:tentative="1">
      <w:start w:val="1"/>
      <w:numFmt w:val="decimal"/>
      <w:lvlText w:val="%7."/>
      <w:lvlJc w:val="left"/>
      <w:pPr>
        <w:ind w:left="5040" w:hanging="360"/>
      </w:pPr>
    </w:lvl>
    <w:lvl w:ilvl="7" w:tplc="92021808" w:tentative="1">
      <w:start w:val="1"/>
      <w:numFmt w:val="lowerLetter"/>
      <w:lvlText w:val="%8."/>
      <w:lvlJc w:val="left"/>
      <w:pPr>
        <w:ind w:left="5760" w:hanging="360"/>
      </w:pPr>
    </w:lvl>
    <w:lvl w:ilvl="8" w:tplc="92021808" w:tentative="1">
      <w:start w:val="1"/>
      <w:numFmt w:val="lowerRoman"/>
      <w:lvlText w:val="%9."/>
      <w:lvlJc w:val="right"/>
      <w:pPr>
        <w:ind w:left="6480" w:hanging="180"/>
      </w:pPr>
    </w:lvl>
  </w:abstractNum>
  <w:abstractNum w:abstractNumId="1" w15:restartNumberingAfterBreak="0">
    <w:nsid w:val="0BC41D99"/>
    <w:multiLevelType w:val="hybridMultilevel"/>
    <w:tmpl w:val="5044A228"/>
    <w:lvl w:ilvl="0" w:tplc="39417651">
      <w:start w:val="1"/>
      <w:numFmt w:val="decimal"/>
      <w:lvlText w:val="%1."/>
      <w:lvlJc w:val="left"/>
      <w:pPr>
        <w:ind w:left="720" w:hanging="360"/>
      </w:pPr>
    </w:lvl>
    <w:lvl w:ilvl="1" w:tplc="39417651" w:tentative="1">
      <w:start w:val="1"/>
      <w:numFmt w:val="lowerLetter"/>
      <w:lvlText w:val="%2."/>
      <w:lvlJc w:val="left"/>
      <w:pPr>
        <w:ind w:left="1440" w:hanging="360"/>
      </w:pPr>
    </w:lvl>
    <w:lvl w:ilvl="2" w:tplc="39417651" w:tentative="1">
      <w:start w:val="1"/>
      <w:numFmt w:val="lowerRoman"/>
      <w:lvlText w:val="%3."/>
      <w:lvlJc w:val="right"/>
      <w:pPr>
        <w:ind w:left="2160" w:hanging="180"/>
      </w:pPr>
    </w:lvl>
    <w:lvl w:ilvl="3" w:tplc="39417651" w:tentative="1">
      <w:start w:val="1"/>
      <w:numFmt w:val="decimal"/>
      <w:lvlText w:val="%4."/>
      <w:lvlJc w:val="left"/>
      <w:pPr>
        <w:ind w:left="2880" w:hanging="360"/>
      </w:pPr>
    </w:lvl>
    <w:lvl w:ilvl="4" w:tplc="39417651" w:tentative="1">
      <w:start w:val="1"/>
      <w:numFmt w:val="lowerLetter"/>
      <w:lvlText w:val="%5."/>
      <w:lvlJc w:val="left"/>
      <w:pPr>
        <w:ind w:left="3600" w:hanging="360"/>
      </w:pPr>
    </w:lvl>
    <w:lvl w:ilvl="5" w:tplc="39417651" w:tentative="1">
      <w:start w:val="1"/>
      <w:numFmt w:val="lowerRoman"/>
      <w:lvlText w:val="%6."/>
      <w:lvlJc w:val="right"/>
      <w:pPr>
        <w:ind w:left="4320" w:hanging="180"/>
      </w:pPr>
    </w:lvl>
    <w:lvl w:ilvl="6" w:tplc="39417651" w:tentative="1">
      <w:start w:val="1"/>
      <w:numFmt w:val="decimal"/>
      <w:lvlText w:val="%7."/>
      <w:lvlJc w:val="left"/>
      <w:pPr>
        <w:ind w:left="5040" w:hanging="360"/>
      </w:pPr>
    </w:lvl>
    <w:lvl w:ilvl="7" w:tplc="39417651" w:tentative="1">
      <w:start w:val="1"/>
      <w:numFmt w:val="lowerLetter"/>
      <w:lvlText w:val="%8."/>
      <w:lvlJc w:val="left"/>
      <w:pPr>
        <w:ind w:left="5760" w:hanging="360"/>
      </w:pPr>
    </w:lvl>
    <w:lvl w:ilvl="8" w:tplc="39417651" w:tentative="1">
      <w:start w:val="1"/>
      <w:numFmt w:val="lowerRoman"/>
      <w:lvlText w:val="%9."/>
      <w:lvlJc w:val="right"/>
      <w:pPr>
        <w:ind w:left="6480" w:hanging="180"/>
      </w:pPr>
    </w:lvl>
  </w:abstractNum>
  <w:abstractNum w:abstractNumId="2" w15:restartNumberingAfterBreak="0">
    <w:nsid w:val="0E9639F3"/>
    <w:multiLevelType w:val="hybridMultilevel"/>
    <w:tmpl w:val="B6C6589E"/>
    <w:lvl w:ilvl="0" w:tplc="31312677">
      <w:start w:val="3"/>
      <w:numFmt w:val="decimal"/>
      <w:lvlText w:val="%1."/>
      <w:lvlJc w:val="left"/>
      <w:pPr>
        <w:ind w:left="720" w:hanging="360"/>
      </w:pPr>
    </w:lvl>
    <w:lvl w:ilvl="1" w:tplc="31312677" w:tentative="1">
      <w:start w:val="1"/>
      <w:numFmt w:val="lowerLetter"/>
      <w:lvlText w:val="%2."/>
      <w:lvlJc w:val="left"/>
      <w:pPr>
        <w:ind w:left="1440" w:hanging="360"/>
      </w:pPr>
    </w:lvl>
    <w:lvl w:ilvl="2" w:tplc="31312677" w:tentative="1">
      <w:start w:val="1"/>
      <w:numFmt w:val="lowerRoman"/>
      <w:lvlText w:val="%3."/>
      <w:lvlJc w:val="right"/>
      <w:pPr>
        <w:ind w:left="2160" w:hanging="180"/>
      </w:pPr>
    </w:lvl>
    <w:lvl w:ilvl="3" w:tplc="31312677" w:tentative="1">
      <w:start w:val="1"/>
      <w:numFmt w:val="decimal"/>
      <w:lvlText w:val="%4."/>
      <w:lvlJc w:val="left"/>
      <w:pPr>
        <w:ind w:left="2880" w:hanging="360"/>
      </w:pPr>
    </w:lvl>
    <w:lvl w:ilvl="4" w:tplc="31312677" w:tentative="1">
      <w:start w:val="1"/>
      <w:numFmt w:val="lowerLetter"/>
      <w:lvlText w:val="%5."/>
      <w:lvlJc w:val="left"/>
      <w:pPr>
        <w:ind w:left="3600" w:hanging="360"/>
      </w:pPr>
    </w:lvl>
    <w:lvl w:ilvl="5" w:tplc="31312677" w:tentative="1">
      <w:start w:val="1"/>
      <w:numFmt w:val="lowerRoman"/>
      <w:lvlText w:val="%6."/>
      <w:lvlJc w:val="right"/>
      <w:pPr>
        <w:ind w:left="4320" w:hanging="180"/>
      </w:pPr>
    </w:lvl>
    <w:lvl w:ilvl="6" w:tplc="31312677" w:tentative="1">
      <w:start w:val="1"/>
      <w:numFmt w:val="decimal"/>
      <w:lvlText w:val="%7."/>
      <w:lvlJc w:val="left"/>
      <w:pPr>
        <w:ind w:left="5040" w:hanging="360"/>
      </w:pPr>
    </w:lvl>
    <w:lvl w:ilvl="7" w:tplc="31312677" w:tentative="1">
      <w:start w:val="1"/>
      <w:numFmt w:val="lowerLetter"/>
      <w:lvlText w:val="%8."/>
      <w:lvlJc w:val="left"/>
      <w:pPr>
        <w:ind w:left="5760" w:hanging="360"/>
      </w:pPr>
    </w:lvl>
    <w:lvl w:ilvl="8" w:tplc="31312677" w:tentative="1">
      <w:start w:val="1"/>
      <w:numFmt w:val="lowerRoman"/>
      <w:lvlText w:val="%9."/>
      <w:lvlJc w:val="right"/>
      <w:pPr>
        <w:ind w:left="6480" w:hanging="180"/>
      </w:pPr>
    </w:lvl>
  </w:abstractNum>
  <w:abstractNum w:abstractNumId="3" w15:restartNumberingAfterBreak="0">
    <w:nsid w:val="24080D88"/>
    <w:multiLevelType w:val="hybridMultilevel"/>
    <w:tmpl w:val="A9B06C08"/>
    <w:lvl w:ilvl="0" w:tplc="8626419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5" w15:restartNumberingAfterBreak="0">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15:restartNumberingAfterBreak="0">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5A610E2C"/>
    <w:multiLevelType w:val="hybridMultilevel"/>
    <w:tmpl w:val="D5F8472C"/>
    <w:lvl w:ilvl="0" w:tplc="73622971">
      <w:start w:val="2"/>
      <w:numFmt w:val="decimal"/>
      <w:lvlText w:val="%1."/>
      <w:lvlJc w:val="left"/>
      <w:pPr>
        <w:ind w:left="720" w:hanging="360"/>
      </w:pPr>
    </w:lvl>
    <w:lvl w:ilvl="1" w:tplc="73622971" w:tentative="1">
      <w:start w:val="1"/>
      <w:numFmt w:val="lowerLetter"/>
      <w:lvlText w:val="%2."/>
      <w:lvlJc w:val="left"/>
      <w:pPr>
        <w:ind w:left="1440" w:hanging="360"/>
      </w:pPr>
    </w:lvl>
    <w:lvl w:ilvl="2" w:tplc="73622971" w:tentative="1">
      <w:start w:val="1"/>
      <w:numFmt w:val="lowerRoman"/>
      <w:lvlText w:val="%3."/>
      <w:lvlJc w:val="right"/>
      <w:pPr>
        <w:ind w:left="2160" w:hanging="180"/>
      </w:pPr>
    </w:lvl>
    <w:lvl w:ilvl="3" w:tplc="73622971" w:tentative="1">
      <w:start w:val="1"/>
      <w:numFmt w:val="decimal"/>
      <w:lvlText w:val="%4."/>
      <w:lvlJc w:val="left"/>
      <w:pPr>
        <w:ind w:left="2880" w:hanging="360"/>
      </w:pPr>
    </w:lvl>
    <w:lvl w:ilvl="4" w:tplc="73622971" w:tentative="1">
      <w:start w:val="1"/>
      <w:numFmt w:val="lowerLetter"/>
      <w:lvlText w:val="%5."/>
      <w:lvlJc w:val="left"/>
      <w:pPr>
        <w:ind w:left="3600" w:hanging="360"/>
      </w:pPr>
    </w:lvl>
    <w:lvl w:ilvl="5" w:tplc="73622971" w:tentative="1">
      <w:start w:val="1"/>
      <w:numFmt w:val="lowerRoman"/>
      <w:lvlText w:val="%6."/>
      <w:lvlJc w:val="right"/>
      <w:pPr>
        <w:ind w:left="4320" w:hanging="180"/>
      </w:pPr>
    </w:lvl>
    <w:lvl w:ilvl="6" w:tplc="73622971" w:tentative="1">
      <w:start w:val="1"/>
      <w:numFmt w:val="decimal"/>
      <w:lvlText w:val="%7."/>
      <w:lvlJc w:val="left"/>
      <w:pPr>
        <w:ind w:left="5040" w:hanging="360"/>
      </w:pPr>
    </w:lvl>
    <w:lvl w:ilvl="7" w:tplc="73622971" w:tentative="1">
      <w:start w:val="1"/>
      <w:numFmt w:val="lowerLetter"/>
      <w:lvlText w:val="%8."/>
      <w:lvlJc w:val="left"/>
      <w:pPr>
        <w:ind w:left="5760" w:hanging="360"/>
      </w:pPr>
    </w:lvl>
    <w:lvl w:ilvl="8" w:tplc="73622971" w:tentative="1">
      <w:start w:val="1"/>
      <w:numFmt w:val="lowerRoman"/>
      <w:lvlText w:val="%9."/>
      <w:lvlJc w:val="right"/>
      <w:pPr>
        <w:ind w:left="6480" w:hanging="180"/>
      </w:pPr>
    </w:lvl>
  </w:abstractNum>
  <w:abstractNum w:abstractNumId="11" w15:restartNumberingAfterBreak="0">
    <w:nsid w:val="5DFC560B"/>
    <w:multiLevelType w:val="hybridMultilevel"/>
    <w:tmpl w:val="7B2A5D9E"/>
    <w:lvl w:ilvl="0" w:tplc="56317276">
      <w:start w:val="1"/>
      <w:numFmt w:val="decimal"/>
      <w:lvlText w:val="%1."/>
      <w:lvlJc w:val="left"/>
      <w:pPr>
        <w:ind w:left="720" w:hanging="360"/>
      </w:pPr>
    </w:lvl>
    <w:lvl w:ilvl="1" w:tplc="56317276" w:tentative="1">
      <w:start w:val="1"/>
      <w:numFmt w:val="lowerLetter"/>
      <w:lvlText w:val="%2."/>
      <w:lvlJc w:val="left"/>
      <w:pPr>
        <w:ind w:left="1440" w:hanging="360"/>
      </w:pPr>
    </w:lvl>
    <w:lvl w:ilvl="2" w:tplc="56317276" w:tentative="1">
      <w:start w:val="1"/>
      <w:numFmt w:val="lowerRoman"/>
      <w:lvlText w:val="%3."/>
      <w:lvlJc w:val="right"/>
      <w:pPr>
        <w:ind w:left="2160" w:hanging="180"/>
      </w:pPr>
    </w:lvl>
    <w:lvl w:ilvl="3" w:tplc="56317276" w:tentative="1">
      <w:start w:val="1"/>
      <w:numFmt w:val="decimal"/>
      <w:lvlText w:val="%4."/>
      <w:lvlJc w:val="left"/>
      <w:pPr>
        <w:ind w:left="2880" w:hanging="360"/>
      </w:pPr>
    </w:lvl>
    <w:lvl w:ilvl="4" w:tplc="56317276" w:tentative="1">
      <w:start w:val="1"/>
      <w:numFmt w:val="lowerLetter"/>
      <w:lvlText w:val="%5."/>
      <w:lvlJc w:val="left"/>
      <w:pPr>
        <w:ind w:left="3600" w:hanging="360"/>
      </w:pPr>
    </w:lvl>
    <w:lvl w:ilvl="5" w:tplc="56317276" w:tentative="1">
      <w:start w:val="1"/>
      <w:numFmt w:val="lowerRoman"/>
      <w:lvlText w:val="%6."/>
      <w:lvlJc w:val="right"/>
      <w:pPr>
        <w:ind w:left="4320" w:hanging="180"/>
      </w:pPr>
    </w:lvl>
    <w:lvl w:ilvl="6" w:tplc="56317276" w:tentative="1">
      <w:start w:val="1"/>
      <w:numFmt w:val="decimal"/>
      <w:lvlText w:val="%7."/>
      <w:lvlJc w:val="left"/>
      <w:pPr>
        <w:ind w:left="5040" w:hanging="360"/>
      </w:pPr>
    </w:lvl>
    <w:lvl w:ilvl="7" w:tplc="56317276" w:tentative="1">
      <w:start w:val="1"/>
      <w:numFmt w:val="lowerLetter"/>
      <w:lvlText w:val="%8."/>
      <w:lvlJc w:val="left"/>
      <w:pPr>
        <w:ind w:left="5760" w:hanging="360"/>
      </w:pPr>
    </w:lvl>
    <w:lvl w:ilvl="8" w:tplc="56317276" w:tentative="1">
      <w:start w:val="1"/>
      <w:numFmt w:val="lowerRoman"/>
      <w:lvlText w:val="%9."/>
      <w:lvlJc w:val="right"/>
      <w:pPr>
        <w:ind w:left="6480" w:hanging="180"/>
      </w:pPr>
    </w:lvl>
  </w:abstractNum>
  <w:abstractNum w:abstractNumId="12" w15:restartNumberingAfterBreak="0">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6D9531F5"/>
    <w:multiLevelType w:val="hybridMultilevel"/>
    <w:tmpl w:val="7EEA3DDA"/>
    <w:lvl w:ilvl="0" w:tplc="46101499">
      <w:start w:val="1"/>
      <w:numFmt w:val="decimal"/>
      <w:lvlText w:val="%1."/>
      <w:lvlJc w:val="left"/>
      <w:pPr>
        <w:ind w:left="720" w:hanging="360"/>
      </w:pPr>
    </w:lvl>
    <w:lvl w:ilvl="1" w:tplc="46101499" w:tentative="1">
      <w:start w:val="1"/>
      <w:numFmt w:val="lowerLetter"/>
      <w:lvlText w:val="%2."/>
      <w:lvlJc w:val="left"/>
      <w:pPr>
        <w:ind w:left="1440" w:hanging="360"/>
      </w:pPr>
    </w:lvl>
    <w:lvl w:ilvl="2" w:tplc="46101499" w:tentative="1">
      <w:start w:val="1"/>
      <w:numFmt w:val="lowerRoman"/>
      <w:lvlText w:val="%3."/>
      <w:lvlJc w:val="right"/>
      <w:pPr>
        <w:ind w:left="2160" w:hanging="180"/>
      </w:pPr>
    </w:lvl>
    <w:lvl w:ilvl="3" w:tplc="46101499" w:tentative="1">
      <w:start w:val="1"/>
      <w:numFmt w:val="decimal"/>
      <w:lvlText w:val="%4."/>
      <w:lvlJc w:val="left"/>
      <w:pPr>
        <w:ind w:left="2880" w:hanging="360"/>
      </w:pPr>
    </w:lvl>
    <w:lvl w:ilvl="4" w:tplc="46101499" w:tentative="1">
      <w:start w:val="1"/>
      <w:numFmt w:val="lowerLetter"/>
      <w:lvlText w:val="%5."/>
      <w:lvlJc w:val="left"/>
      <w:pPr>
        <w:ind w:left="3600" w:hanging="360"/>
      </w:pPr>
    </w:lvl>
    <w:lvl w:ilvl="5" w:tplc="46101499" w:tentative="1">
      <w:start w:val="1"/>
      <w:numFmt w:val="lowerRoman"/>
      <w:lvlText w:val="%6."/>
      <w:lvlJc w:val="right"/>
      <w:pPr>
        <w:ind w:left="4320" w:hanging="180"/>
      </w:pPr>
    </w:lvl>
    <w:lvl w:ilvl="6" w:tplc="46101499" w:tentative="1">
      <w:start w:val="1"/>
      <w:numFmt w:val="decimal"/>
      <w:lvlText w:val="%7."/>
      <w:lvlJc w:val="left"/>
      <w:pPr>
        <w:ind w:left="5040" w:hanging="360"/>
      </w:pPr>
    </w:lvl>
    <w:lvl w:ilvl="7" w:tplc="46101499" w:tentative="1">
      <w:start w:val="1"/>
      <w:numFmt w:val="lowerLetter"/>
      <w:lvlText w:val="%8."/>
      <w:lvlJc w:val="left"/>
      <w:pPr>
        <w:ind w:left="5760" w:hanging="360"/>
      </w:pPr>
    </w:lvl>
    <w:lvl w:ilvl="8" w:tplc="46101499" w:tentative="1">
      <w:start w:val="1"/>
      <w:numFmt w:val="lowerRoman"/>
      <w:lvlText w:val="%9."/>
      <w:lvlJc w:val="right"/>
      <w:pPr>
        <w:ind w:left="6480" w:hanging="180"/>
      </w:pPr>
    </w:lvl>
  </w:abstractNum>
  <w:abstractNum w:abstractNumId="14" w15:restartNumberingAfterBreak="0">
    <w:nsid w:val="754E7F7D"/>
    <w:multiLevelType w:val="hybridMultilevel"/>
    <w:tmpl w:val="446407C2"/>
    <w:lvl w:ilvl="0" w:tplc="91040484">
      <w:start w:val="1"/>
      <w:numFmt w:val="decimal"/>
      <w:lvlText w:val="%1."/>
      <w:lvlJc w:val="left"/>
      <w:pPr>
        <w:ind w:left="720" w:hanging="360"/>
      </w:pPr>
    </w:lvl>
    <w:lvl w:ilvl="1" w:tplc="91040484" w:tentative="1">
      <w:start w:val="1"/>
      <w:numFmt w:val="lowerLetter"/>
      <w:lvlText w:val="%2."/>
      <w:lvlJc w:val="left"/>
      <w:pPr>
        <w:ind w:left="1440" w:hanging="360"/>
      </w:pPr>
    </w:lvl>
    <w:lvl w:ilvl="2" w:tplc="91040484" w:tentative="1">
      <w:start w:val="1"/>
      <w:numFmt w:val="lowerRoman"/>
      <w:lvlText w:val="%3."/>
      <w:lvlJc w:val="right"/>
      <w:pPr>
        <w:ind w:left="2160" w:hanging="180"/>
      </w:pPr>
    </w:lvl>
    <w:lvl w:ilvl="3" w:tplc="91040484" w:tentative="1">
      <w:start w:val="1"/>
      <w:numFmt w:val="decimal"/>
      <w:lvlText w:val="%4."/>
      <w:lvlJc w:val="left"/>
      <w:pPr>
        <w:ind w:left="2880" w:hanging="360"/>
      </w:pPr>
    </w:lvl>
    <w:lvl w:ilvl="4" w:tplc="91040484" w:tentative="1">
      <w:start w:val="1"/>
      <w:numFmt w:val="lowerLetter"/>
      <w:lvlText w:val="%5."/>
      <w:lvlJc w:val="left"/>
      <w:pPr>
        <w:ind w:left="3600" w:hanging="360"/>
      </w:pPr>
    </w:lvl>
    <w:lvl w:ilvl="5" w:tplc="91040484" w:tentative="1">
      <w:start w:val="1"/>
      <w:numFmt w:val="lowerRoman"/>
      <w:lvlText w:val="%6."/>
      <w:lvlJc w:val="right"/>
      <w:pPr>
        <w:ind w:left="4320" w:hanging="180"/>
      </w:pPr>
    </w:lvl>
    <w:lvl w:ilvl="6" w:tplc="91040484" w:tentative="1">
      <w:start w:val="1"/>
      <w:numFmt w:val="decimal"/>
      <w:lvlText w:val="%7."/>
      <w:lvlJc w:val="left"/>
      <w:pPr>
        <w:ind w:left="5040" w:hanging="360"/>
      </w:pPr>
    </w:lvl>
    <w:lvl w:ilvl="7" w:tplc="91040484" w:tentative="1">
      <w:start w:val="1"/>
      <w:numFmt w:val="lowerLetter"/>
      <w:lvlText w:val="%8."/>
      <w:lvlJc w:val="left"/>
      <w:pPr>
        <w:ind w:left="5760" w:hanging="360"/>
      </w:pPr>
    </w:lvl>
    <w:lvl w:ilvl="8" w:tplc="91040484" w:tentative="1">
      <w:start w:val="1"/>
      <w:numFmt w:val="lowerRoman"/>
      <w:lvlText w:val="%9."/>
      <w:lvlJc w:val="right"/>
      <w:pPr>
        <w:ind w:left="6480" w:hanging="180"/>
      </w:pPr>
    </w:lvl>
  </w:abstractNum>
  <w:num w:numId="1" w16cid:durableId="164131652">
    <w:abstractNumId w:val="7"/>
  </w:num>
  <w:num w:numId="2" w16cid:durableId="1119838216">
    <w:abstractNumId w:val="9"/>
  </w:num>
  <w:num w:numId="3" w16cid:durableId="1407651141">
    <w:abstractNumId w:val="12"/>
  </w:num>
  <w:num w:numId="4" w16cid:durableId="1362559592">
    <w:abstractNumId w:val="8"/>
  </w:num>
  <w:num w:numId="5" w16cid:durableId="390159422">
    <w:abstractNumId w:val="5"/>
  </w:num>
  <w:num w:numId="6" w16cid:durableId="58526425">
    <w:abstractNumId w:val="4"/>
  </w:num>
  <w:num w:numId="7" w16cid:durableId="1903907088">
    <w:abstractNumId w:val="6"/>
  </w:num>
  <w:num w:numId="8" w16cid:durableId="1959724528">
    <w:abstractNumId w:val="3"/>
  </w:num>
  <w:num w:numId="9" w16cid:durableId="1854106925">
    <w:abstractNumId w:val="1"/>
  </w:num>
  <w:num w:numId="10" w16cid:durableId="623581591">
    <w:abstractNumId w:val="13"/>
  </w:num>
  <w:num w:numId="11" w16cid:durableId="1905067636">
    <w:abstractNumId w:val="10"/>
  </w:num>
  <w:num w:numId="12" w16cid:durableId="269817499">
    <w:abstractNumId w:val="11"/>
  </w:num>
  <w:num w:numId="13" w16cid:durableId="1530096559">
    <w:abstractNumId w:val="2"/>
  </w:num>
  <w:num w:numId="14" w16cid:durableId="185289504">
    <w:abstractNumId w:val="14"/>
  </w:num>
  <w:num w:numId="15" w16cid:durableId="13027285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1D13"/>
    <w:rsid w:val="000F3102"/>
    <w:rsid w:val="00217DE5"/>
    <w:rsid w:val="0040271D"/>
    <w:rsid w:val="00504C9B"/>
    <w:rsid w:val="005932B0"/>
    <w:rsid w:val="006F484E"/>
    <w:rsid w:val="00712BE7"/>
    <w:rsid w:val="00716FFE"/>
    <w:rsid w:val="008E25A0"/>
    <w:rsid w:val="00A41D13"/>
    <w:rsid w:val="00A453F4"/>
    <w:rsid w:val="00C22BA3"/>
    <w:rsid w:val="00C86FD6"/>
    <w:rsid w:val="00E95B2E"/>
    <w:rsid w:val="00F46CC2"/>
    <w:rsid w:val="00F639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602C58"/>
  <w15:docId w15:val="{8D7C5658-A61A-4EC0-B64A-0FADFBC91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US"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217DE5"/>
    <w:pPr>
      <w:tabs>
        <w:tab w:val="center" w:pos="4513"/>
        <w:tab w:val="right" w:pos="9026"/>
      </w:tabs>
    </w:pPr>
  </w:style>
  <w:style w:type="character" w:customStyle="1" w:styleId="HeaderChar">
    <w:name w:val="Header Char"/>
    <w:basedOn w:val="DefaultParagraphFont"/>
    <w:link w:val="Header"/>
    <w:uiPriority w:val="99"/>
    <w:rsid w:val="00217DE5"/>
  </w:style>
  <w:style w:type="paragraph" w:styleId="Footer">
    <w:name w:val="footer"/>
    <w:basedOn w:val="Normal"/>
    <w:link w:val="FooterChar"/>
    <w:uiPriority w:val="99"/>
    <w:unhideWhenUsed/>
    <w:rsid w:val="00217DE5"/>
    <w:pPr>
      <w:tabs>
        <w:tab w:val="center" w:pos="4513"/>
        <w:tab w:val="right" w:pos="9026"/>
      </w:tabs>
    </w:pPr>
  </w:style>
  <w:style w:type="character" w:customStyle="1" w:styleId="FooterChar">
    <w:name w:val="Footer Char"/>
    <w:basedOn w:val="DefaultParagraphFont"/>
    <w:link w:val="Footer"/>
    <w:uiPriority w:val="99"/>
    <w:rsid w:val="00217DE5"/>
  </w:style>
  <w:style w:type="character" w:customStyle="1" w:styleId="DefaultParagraphFontPHPDOCX">
    <w:name w:val="Default Paragraph Font PHPDOCX"/>
    <w:uiPriority w:val="1"/>
    <w:semiHidden/>
    <w:unhideWhenUsed/>
  </w:style>
  <w:style w:type="paragraph" w:customStyle="1" w:styleId="ListParagraphPHPDOCX">
    <w:name w:val="List Paragraph PHPDOCX"/>
    <w:basedOn w:val="Normal"/>
    <w:uiPriority w:val="34"/>
    <w:qFormat/>
    <w:rsid w:val="00DF064E"/>
    <w:pPr>
      <w:ind w:left="720"/>
      <w:contextualSpacing/>
    </w:pPr>
  </w:style>
  <w:style w:type="paragraph" w:customStyle="1" w:styleId="TitlePHPDOCX">
    <w:name w:val="Title PHPDOCX"/>
    <w:basedOn w:val="Normal"/>
    <w:next w:val="Normal"/>
    <w:link w:val="TitleCarPHPDOCX"/>
    <w:uiPriority w:val="10"/>
    <w:qFormat/>
    <w:rsid w:val="00DF064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Normal"/>
    <w:link w:val="CommentTextCharPHPDOCX"/>
    <w:uiPriority w:val="99"/>
    <w:semiHidden/>
    <w:unhideWhenUsed/>
    <w:rsid w:val="00E139EA"/>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Normal"/>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Normal"/>
    <w:link w:val="footnoteTextCarPHPDOCX"/>
    <w:uiPriority w:val="99"/>
    <w:semiHidden/>
    <w:unhideWhenUsed/>
    <w:rsid w:val="006E0FDA"/>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Normal"/>
    <w:link w:val="endnoteTextCarPHPDOCX"/>
    <w:uiPriority w:val="99"/>
    <w:semiHidden/>
    <w:unhideWhenUsed/>
    <w:rsid w:val="006E0FDA"/>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gov.uk/government/publications/inclusive-mainstream-fund-support-for-school-leaders/inclusive-mainstream-fund-best-practice-for-schools" TargetMode="External"/><Relationship Id="rId18" Type="http://schemas.openxmlformats.org/officeDocument/2006/relationships/hyperlink" Target="https://www.gov.uk/government/publications/inclusive-mainstream-fund-support-for-school-leaders/inclusive-mainstream-fund-best-practice-for-schools" TargetMode="External"/><Relationship Id="rId26" Type="http://schemas.openxmlformats.org/officeDocument/2006/relationships/hyperlink" Target="https://speechandlanguage.org.uk/educators-and-professionals/resource-library-for-educators/" TargetMode="External"/><Relationship Id="rId3" Type="http://schemas.openxmlformats.org/officeDocument/2006/relationships/settings" Target="settings.xml"/><Relationship Id="rId21" Type="http://schemas.openxmlformats.org/officeDocument/2006/relationships/hyperlink" Target="https://www.gov.uk/government/publications/rise-support-for-inclusive-mainstream-education/rise-support-for-inclusive-mainstream-education" TargetMode="External"/><Relationship Id="rId34" Type="http://schemas.openxmlformats.org/officeDocument/2006/relationships/fontTable" Target="fontTable.xml"/><Relationship Id="rId7" Type="http://schemas.openxmlformats.org/officeDocument/2006/relationships/hyperlink" Target="https://educationendowmentfoundation.org.uk/education-evidence/guidance-reports/send" TargetMode="External"/><Relationship Id="rId12" Type="http://schemas.openxmlformats.org/officeDocument/2006/relationships/hyperlink" Target="https://speechandlanguage.org.uk/educators-and-professionals/resource-library-for-educators/" TargetMode="External"/><Relationship Id="rId17" Type="http://schemas.openxmlformats.org/officeDocument/2006/relationships/hyperlink" Target="https://www.gov.uk/government/publications/rise-support-for-inclusive-mainstream-education/rise-support-for-inclusive-mainstream-education" TargetMode="External"/><Relationship Id="rId25" Type="http://schemas.openxmlformats.org/officeDocument/2006/relationships/hyperlink" Target="https://www.gov.uk/government/publications/inclusive-mainstream-fund-support-for-school-leaders/inclusive-mainstream-fund-best-practice-for-schools" TargetMode="External"/><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attendancetoolkit.blob.core.windows.net/toolkit-doc/Attendance%20toolkit%20for%20schools.pdf" TargetMode="External"/><Relationship Id="rId20" Type="http://schemas.openxmlformats.org/officeDocument/2006/relationships/hyperlink" Target="https://educationendowmentfoundation.org.uk/education-evidence/guidance-reports/send" TargetMode="External"/><Relationship Id="rId29" Type="http://schemas.openxmlformats.org/officeDocument/2006/relationships/hyperlink" Target="https://educationendowmentfoundation.org.uk/education-evidence/guidance-reports/send"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v.uk/government/publications/rise-support-for-inclusive-mainstream-education/rise-support-for-inclusive-mainstream-education" TargetMode="External"/><Relationship Id="rId24" Type="http://schemas.openxmlformats.org/officeDocument/2006/relationships/hyperlink" Target="https://attendancetoolkit.blob.core.windows.net/toolkit-doc/Attendance%20toolkit%20for%20schools.pdf" TargetMode="External"/><Relationship Id="rId32"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gov.uk/government/publications/rise-support-for-inclusive-mainstream-education/rise-support-for-inclusive-mainstream-education" TargetMode="External"/><Relationship Id="rId23" Type="http://schemas.openxmlformats.org/officeDocument/2006/relationships/hyperlink" Target="https://www.gov.uk/government/publications/inclusive-mainstream-fund-support-for-school-leaders/inclusive-mainstream-fund-best-practice-for-schools" TargetMode="External"/><Relationship Id="rId28" Type="http://schemas.openxmlformats.org/officeDocument/2006/relationships/hyperlink" Target="https://www.gov.uk/government/publications/rise-support-for-inclusive-mainstream-education/rise-support-for-inclusive-mainstream-education" TargetMode="External"/><Relationship Id="rId10" Type="http://schemas.openxmlformats.org/officeDocument/2006/relationships/hyperlink" Target="https://educationendowmentfoundation.org.uk/education-evidence/guidance-reports/send" TargetMode="External"/><Relationship Id="rId19" Type="http://schemas.openxmlformats.org/officeDocument/2006/relationships/hyperlink" Target="https://speechandlanguage.org.uk/educators-and-professionals/resource-library-for-educators/" TargetMode="External"/><Relationship Id="rId31" Type="http://schemas.openxmlformats.org/officeDocument/2006/relationships/hyperlink" Target="https://speechandlanguage.org.uk/educators-and-professionals/resource-library-for-educators/" TargetMode="External"/><Relationship Id="rId4" Type="http://schemas.openxmlformats.org/officeDocument/2006/relationships/webSettings" Target="webSettings.xml"/><Relationship Id="rId9" Type="http://schemas.openxmlformats.org/officeDocument/2006/relationships/hyperlink" Target="https://www.gov.uk/government/publications/inclusive-mainstream-fund-support-for-school-leaders/inclusive-mainstream-fund-best-practice-for-schools" TargetMode="External"/><Relationship Id="rId14" Type="http://schemas.openxmlformats.org/officeDocument/2006/relationships/hyperlink" Target="https://attendancetoolkit.blob.core.windows.net/toolkit-doc/Attendance%20toolkit%20for%20schools.pdf" TargetMode="External"/><Relationship Id="rId22" Type="http://schemas.openxmlformats.org/officeDocument/2006/relationships/hyperlink" Target="https://speechandlanguage.org.uk/educators-and-professionals/resource-library-for-educators/" TargetMode="External"/><Relationship Id="rId27" Type="http://schemas.openxmlformats.org/officeDocument/2006/relationships/hyperlink" Target="https://www.gov.uk/government/publications/inclusive-mainstream-fund-support-for-school-leaders/inclusive-mainstream-fund-best-practice-for-schools" TargetMode="External"/><Relationship Id="rId30" Type="http://schemas.openxmlformats.org/officeDocument/2006/relationships/hyperlink" Target="https://attendancetoolkit.blob.core.windows.net/toolkit-doc/Attendance%20toolkit%20for%20schools.pdf" TargetMode="External"/><Relationship Id="rId35" Type="http://schemas.openxmlformats.org/officeDocument/2006/relationships/theme" Target="theme/theme1.xml"/><Relationship Id="rId8" Type="http://schemas.openxmlformats.org/officeDocument/2006/relationships/hyperlink" Target="https://speechandlanguage.org.uk/educators-and-professionals/resource-library-for-educato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6</Pages>
  <Words>2390</Words>
  <Characters>13625</Characters>
  <Application>Microsoft Office Word</Application>
  <DocSecurity>0</DocSecurity>
  <Lines>113</Lines>
  <Paragraphs>31</Paragraphs>
  <ScaleCrop>false</ScaleCrop>
  <Company/>
  <LinksUpToDate>false</LinksUpToDate>
  <CharactersWithSpaces>15984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Lunts Heath - Head Teacher</cp:lastModifiedBy>
  <cp:revision>2</cp:revision>
  <dcterms:created xsi:type="dcterms:W3CDTF">2026-08-24T20:04:00Z</dcterms:created>
  <dcterms:modified xsi:type="dcterms:W3CDTF">2026-08-24T20:04:00Z</dcterms:modified>
</cp:coreProperties>
</file>