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FB294" w14:textId="6B3B0BEC" w:rsidR="00F876EA" w:rsidRPr="00F876EA" w:rsidRDefault="00F876EA" w:rsidP="00214133">
      <w:pPr>
        <w:shd w:val="clear" w:color="auto" w:fill="FFFFFF"/>
        <w:spacing w:after="0" w:line="240" w:lineRule="auto"/>
        <w:rPr>
          <w:rFonts w:eastAsia="Times New Roman" w:cstheme="minorHAnsi"/>
          <w:color w:val="000000" w:themeColor="text1"/>
          <w:sz w:val="36"/>
          <w:szCs w:val="36"/>
          <w:lang w:eastAsia="en-GB"/>
        </w:rPr>
      </w:pPr>
      <w:bookmarkStart w:id="0" w:name="_GoBack"/>
      <w:bookmarkEnd w:id="0"/>
      <w:r w:rsidRPr="00F876EA">
        <w:rPr>
          <w:rFonts w:cstheme="minorHAnsi"/>
          <w:noProof/>
          <w:color w:val="000000" w:themeColor="text1"/>
          <w:sz w:val="36"/>
          <w:szCs w:val="36"/>
        </w:rPr>
        <w:drawing>
          <wp:anchor distT="0" distB="0" distL="114300" distR="114300" simplePos="0" relativeHeight="251658240" behindDoc="0" locked="0" layoutInCell="1" allowOverlap="1" wp14:anchorId="02A5CCC7" wp14:editId="3DE86781">
            <wp:simplePos x="0" y="0"/>
            <wp:positionH relativeFrom="column">
              <wp:posOffset>7790503</wp:posOffset>
            </wp:positionH>
            <wp:positionV relativeFrom="paragraph">
              <wp:posOffset>-337539</wp:posOffset>
            </wp:positionV>
            <wp:extent cx="1061080" cy="734886"/>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1080" cy="734886"/>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76EA">
        <w:rPr>
          <w:rFonts w:eastAsia="Times New Roman" w:cstheme="minorHAnsi"/>
          <w:color w:val="000000" w:themeColor="text1"/>
          <w:sz w:val="36"/>
          <w:szCs w:val="36"/>
          <w:lang w:eastAsia="en-GB"/>
        </w:rPr>
        <w:t>The Learning Trust Equality Statements 2026-20</w:t>
      </w:r>
      <w:r w:rsidR="001E5EE3">
        <w:rPr>
          <w:rFonts w:eastAsia="Times New Roman" w:cstheme="minorHAnsi"/>
          <w:color w:val="000000" w:themeColor="text1"/>
          <w:sz w:val="36"/>
          <w:szCs w:val="36"/>
          <w:lang w:eastAsia="en-GB"/>
        </w:rPr>
        <w:t>30</w:t>
      </w:r>
    </w:p>
    <w:p w14:paraId="2A4A6557" w14:textId="77777777" w:rsidR="00F876EA" w:rsidRDefault="00F876EA" w:rsidP="00214133">
      <w:pPr>
        <w:shd w:val="clear" w:color="auto" w:fill="FFFFFF"/>
        <w:spacing w:after="0" w:line="240" w:lineRule="auto"/>
        <w:rPr>
          <w:rFonts w:eastAsia="Times New Roman" w:cstheme="minorHAnsi"/>
          <w:color w:val="000000" w:themeColor="text1"/>
          <w:lang w:eastAsia="en-GB"/>
        </w:rPr>
      </w:pPr>
    </w:p>
    <w:p w14:paraId="4289861C" w14:textId="53977E6E" w:rsidR="00214133" w:rsidRPr="00214133" w:rsidRDefault="00214133" w:rsidP="00214133">
      <w:pPr>
        <w:shd w:val="clear" w:color="auto" w:fill="FFFFFF"/>
        <w:spacing w:after="0" w:line="240" w:lineRule="auto"/>
        <w:rPr>
          <w:rFonts w:eastAsia="Times New Roman" w:cstheme="minorHAnsi"/>
          <w:color w:val="000000" w:themeColor="text1"/>
          <w:lang w:eastAsia="en-GB"/>
        </w:rPr>
      </w:pPr>
      <w:r>
        <w:rPr>
          <w:rFonts w:eastAsia="Times New Roman" w:cstheme="minorHAnsi"/>
          <w:color w:val="000000" w:themeColor="text1"/>
          <w:lang w:eastAsia="en-GB"/>
        </w:rPr>
        <w:t>T</w:t>
      </w:r>
      <w:r w:rsidRPr="00214133">
        <w:rPr>
          <w:rFonts w:eastAsia="Times New Roman" w:cstheme="minorHAnsi"/>
          <w:color w:val="000000" w:themeColor="text1"/>
          <w:lang w:eastAsia="en-GB"/>
        </w:rPr>
        <w:t>he Equality Act 2010 requires us to publish information that demonstrates that we have due regard for the need to:</w:t>
      </w:r>
      <w:r w:rsidR="00F876EA" w:rsidRPr="00F876EA">
        <w:rPr>
          <w:rFonts w:cstheme="minorHAnsi"/>
          <w:color w:val="000000" w:themeColor="text1"/>
        </w:rPr>
        <w:t xml:space="preserve"> </w:t>
      </w:r>
    </w:p>
    <w:p w14:paraId="30EAC7F3" w14:textId="77777777" w:rsidR="00214133" w:rsidRPr="00214133" w:rsidRDefault="00214133" w:rsidP="00214133">
      <w:pPr>
        <w:numPr>
          <w:ilvl w:val="0"/>
          <w:numId w:val="1"/>
        </w:numPr>
        <w:shd w:val="clear" w:color="auto" w:fill="FFFFFF"/>
        <w:spacing w:before="100" w:beforeAutospacing="1" w:after="0" w:line="240" w:lineRule="auto"/>
        <w:rPr>
          <w:rFonts w:eastAsia="Times New Roman" w:cstheme="minorHAnsi"/>
          <w:color w:val="000000" w:themeColor="text1"/>
          <w:lang w:eastAsia="en-GB"/>
        </w:rPr>
      </w:pPr>
      <w:r w:rsidRPr="00214133">
        <w:rPr>
          <w:rFonts w:eastAsia="Times New Roman" w:cstheme="minorHAnsi"/>
          <w:color w:val="000000" w:themeColor="text1"/>
          <w:lang w:val="en-US" w:eastAsia="en-GB"/>
        </w:rPr>
        <w:t>Eliminate unlawful discrimination and other conduct that is prohibited by the Act</w:t>
      </w:r>
    </w:p>
    <w:p w14:paraId="3A057EB5" w14:textId="77777777" w:rsidR="00214133" w:rsidRPr="00214133" w:rsidRDefault="00214133" w:rsidP="00214133">
      <w:pPr>
        <w:numPr>
          <w:ilvl w:val="0"/>
          <w:numId w:val="1"/>
        </w:numPr>
        <w:shd w:val="clear" w:color="auto" w:fill="FFFFFF"/>
        <w:spacing w:before="100" w:beforeAutospacing="1" w:after="0" w:line="240" w:lineRule="auto"/>
        <w:rPr>
          <w:rFonts w:eastAsia="Times New Roman" w:cstheme="minorHAnsi"/>
          <w:color w:val="000000" w:themeColor="text1"/>
          <w:lang w:eastAsia="en-GB"/>
        </w:rPr>
      </w:pPr>
      <w:r w:rsidRPr="00214133">
        <w:rPr>
          <w:rFonts w:eastAsia="Times New Roman" w:cstheme="minorHAnsi"/>
          <w:color w:val="000000" w:themeColor="text1"/>
          <w:lang w:val="en-US" w:eastAsia="en-GB"/>
        </w:rPr>
        <w:t>Advance equality of opportunity between people who share a protected characteristic and people who do not (the protected characteristics are age; disability; gender reassignment; marriage and civil partnership; pregnancy and maternity; race; religion or belief; sex; and sexual orientation.</w:t>
      </w:r>
    </w:p>
    <w:p w14:paraId="7FDABFE4" w14:textId="77777777" w:rsidR="00214133" w:rsidRPr="00214133" w:rsidRDefault="00214133" w:rsidP="00214133">
      <w:pPr>
        <w:numPr>
          <w:ilvl w:val="0"/>
          <w:numId w:val="1"/>
        </w:numPr>
        <w:shd w:val="clear" w:color="auto" w:fill="FFFFFF"/>
        <w:spacing w:before="100" w:beforeAutospacing="1" w:after="0" w:line="240" w:lineRule="auto"/>
        <w:rPr>
          <w:rFonts w:eastAsia="Times New Roman" w:cstheme="minorHAnsi"/>
          <w:color w:val="000000" w:themeColor="text1"/>
          <w:lang w:eastAsia="en-GB"/>
        </w:rPr>
      </w:pPr>
      <w:r w:rsidRPr="00214133">
        <w:rPr>
          <w:rFonts w:eastAsia="Times New Roman" w:cstheme="minorHAnsi"/>
          <w:color w:val="000000" w:themeColor="text1"/>
          <w:lang w:val="en-US" w:eastAsia="en-GB"/>
        </w:rPr>
        <w:t>Foster good relations between people who share a protected characteristic and people who do not share it.</w:t>
      </w:r>
    </w:p>
    <w:p w14:paraId="7A094E57" w14:textId="77777777" w:rsidR="001E5EE3" w:rsidRDefault="00214133" w:rsidP="001E5EE3">
      <w:pPr>
        <w:shd w:val="clear" w:color="auto" w:fill="FFFFFF"/>
        <w:spacing w:before="210" w:after="0" w:line="240" w:lineRule="auto"/>
        <w:outlineLvl w:val="2"/>
        <w:rPr>
          <w:rFonts w:eastAsia="Times New Roman" w:cstheme="minorHAnsi"/>
          <w:color w:val="000000" w:themeColor="text1"/>
          <w:lang w:eastAsia="en-GB"/>
        </w:rPr>
      </w:pPr>
      <w:r w:rsidRPr="00214133">
        <w:rPr>
          <w:rFonts w:eastAsia="Times New Roman" w:cstheme="minorHAnsi"/>
          <w:color w:val="000000" w:themeColor="text1"/>
          <w:lang w:eastAsia="en-GB"/>
        </w:rPr>
        <w:t xml:space="preserve">What does this mean for </w:t>
      </w:r>
      <w:r>
        <w:rPr>
          <w:rFonts w:eastAsia="Times New Roman" w:cstheme="minorHAnsi"/>
          <w:color w:val="000000" w:themeColor="text1"/>
          <w:lang w:eastAsia="en-GB"/>
        </w:rPr>
        <w:t>The Learning Trust</w:t>
      </w:r>
      <w:r w:rsidRPr="00214133">
        <w:rPr>
          <w:rFonts w:eastAsia="Times New Roman" w:cstheme="minorHAnsi"/>
          <w:color w:val="000000" w:themeColor="text1"/>
          <w:lang w:eastAsia="en-GB"/>
        </w:rPr>
        <w:t>?</w:t>
      </w:r>
    </w:p>
    <w:p w14:paraId="5B89DAEE" w14:textId="7E4D642F" w:rsidR="00214133" w:rsidRPr="00214133" w:rsidRDefault="00214133" w:rsidP="001E5EE3">
      <w:pPr>
        <w:shd w:val="clear" w:color="auto" w:fill="FFFFFF"/>
        <w:spacing w:before="210" w:after="0" w:line="240" w:lineRule="auto"/>
        <w:outlineLvl w:val="2"/>
        <w:rPr>
          <w:rFonts w:eastAsia="Times New Roman" w:cstheme="minorHAnsi"/>
          <w:color w:val="000000" w:themeColor="text1"/>
          <w:lang w:eastAsia="en-GB"/>
        </w:rPr>
      </w:pPr>
      <w:r w:rsidRPr="00214133">
        <w:rPr>
          <w:rFonts w:eastAsia="Times New Roman" w:cstheme="minorHAnsi"/>
          <w:color w:val="000000" w:themeColor="text1"/>
          <w:lang w:eastAsia="en-GB"/>
        </w:rPr>
        <w:t xml:space="preserve">Equality is very important to </w:t>
      </w:r>
      <w:r>
        <w:rPr>
          <w:rFonts w:eastAsia="Times New Roman" w:cstheme="minorHAnsi"/>
          <w:color w:val="000000" w:themeColor="text1"/>
          <w:lang w:eastAsia="en-GB"/>
        </w:rPr>
        <w:t>TLT</w:t>
      </w:r>
      <w:r w:rsidRPr="00214133">
        <w:rPr>
          <w:rFonts w:eastAsia="Times New Roman" w:cstheme="minorHAnsi"/>
          <w:color w:val="000000" w:themeColor="text1"/>
          <w:lang w:eastAsia="en-GB"/>
        </w:rPr>
        <w:t>.  We ensure that we are mindful of equality, and compliant with the legislation in all of our policies and procedures.</w:t>
      </w:r>
    </w:p>
    <w:p w14:paraId="52A0BA1F" w14:textId="1C5A29AD" w:rsidR="00214133" w:rsidRDefault="00214133" w:rsidP="00214133">
      <w:pPr>
        <w:shd w:val="clear" w:color="auto" w:fill="FFFFFF"/>
        <w:spacing w:after="0" w:line="240" w:lineRule="auto"/>
        <w:rPr>
          <w:rFonts w:eastAsia="Times New Roman" w:cstheme="minorHAnsi"/>
          <w:color w:val="000000" w:themeColor="text1"/>
          <w:lang w:eastAsia="en-GB"/>
        </w:rPr>
      </w:pPr>
      <w:r w:rsidRPr="00214133">
        <w:rPr>
          <w:rFonts w:eastAsia="Times New Roman" w:cstheme="minorHAnsi"/>
          <w:color w:val="000000" w:themeColor="text1"/>
          <w:lang w:eastAsia="en-GB"/>
        </w:rPr>
        <w:t>Each of our academies have their own bespoke set of equality objectives that work for the academy and the community it serves.  As a multi-academy trust, we have also chosen to have a set of overarching equality objectives that we will look to achieve over the next four years, in addition to the specific academy objectives.</w:t>
      </w:r>
    </w:p>
    <w:p w14:paraId="49FD9090" w14:textId="77777777" w:rsidR="00214133" w:rsidRPr="00214133" w:rsidRDefault="00214133" w:rsidP="00214133">
      <w:pPr>
        <w:shd w:val="clear" w:color="auto" w:fill="FFFFFF"/>
        <w:spacing w:after="0" w:line="240" w:lineRule="auto"/>
        <w:rPr>
          <w:rFonts w:eastAsia="Times New Roman" w:cstheme="minorHAnsi"/>
          <w:color w:val="000000" w:themeColor="text1"/>
          <w:lang w:eastAsia="en-GB"/>
        </w:rPr>
      </w:pPr>
    </w:p>
    <w:p w14:paraId="7B11130C" w14:textId="1F9FBF6D" w:rsidR="00214133" w:rsidRDefault="00214133" w:rsidP="00214133">
      <w:pPr>
        <w:shd w:val="clear" w:color="auto" w:fill="FFFFFF"/>
        <w:spacing w:after="0" w:line="240" w:lineRule="auto"/>
        <w:rPr>
          <w:rFonts w:eastAsia="Times New Roman" w:cstheme="minorHAnsi"/>
          <w:color w:val="000000" w:themeColor="text1"/>
          <w:lang w:eastAsia="en-GB"/>
        </w:rPr>
      </w:pPr>
      <w:r w:rsidRPr="00214133">
        <w:rPr>
          <w:rFonts w:eastAsia="Times New Roman" w:cstheme="minorHAnsi"/>
          <w:color w:val="000000" w:themeColor="text1"/>
          <w:lang w:eastAsia="en-GB"/>
        </w:rPr>
        <w:t>We have formed these objectives by identifying what is important for us as trust to focus on for both our pupils and our staff over the next four years.</w:t>
      </w:r>
    </w:p>
    <w:p w14:paraId="4E7F8DA4" w14:textId="0E69ACA4" w:rsidR="00214133" w:rsidRDefault="00214133" w:rsidP="00214133">
      <w:pPr>
        <w:shd w:val="clear" w:color="auto" w:fill="FFFFFF"/>
        <w:spacing w:after="0" w:line="240" w:lineRule="auto"/>
        <w:rPr>
          <w:rFonts w:eastAsia="Times New Roman" w:cstheme="minorHAnsi"/>
          <w:color w:val="000000" w:themeColor="text1"/>
          <w:lang w:eastAsia="en-GB"/>
        </w:rPr>
      </w:pPr>
    </w:p>
    <w:tbl>
      <w:tblPr>
        <w:tblStyle w:val="TableGrid"/>
        <w:tblW w:w="0" w:type="auto"/>
        <w:tblLook w:val="04A0" w:firstRow="1" w:lastRow="0" w:firstColumn="1" w:lastColumn="0" w:noHBand="0" w:noVBand="1"/>
      </w:tblPr>
      <w:tblGrid>
        <w:gridCol w:w="5240"/>
        <w:gridCol w:w="5103"/>
        <w:gridCol w:w="992"/>
        <w:gridCol w:w="2613"/>
      </w:tblGrid>
      <w:tr w:rsidR="00214133" w14:paraId="657AEDE2" w14:textId="77777777" w:rsidTr="00214133">
        <w:tc>
          <w:tcPr>
            <w:tcW w:w="5240" w:type="dxa"/>
          </w:tcPr>
          <w:p w14:paraId="551C9BC9" w14:textId="2E02BA67" w:rsidR="00214133" w:rsidRDefault="00214133" w:rsidP="00214133">
            <w:pPr>
              <w:rPr>
                <w:rFonts w:eastAsia="Times New Roman" w:cstheme="minorHAnsi"/>
                <w:color w:val="000000" w:themeColor="text1"/>
                <w:lang w:eastAsia="en-GB"/>
              </w:rPr>
            </w:pPr>
            <w:r>
              <w:rPr>
                <w:rFonts w:eastAsia="Times New Roman" w:cstheme="minorHAnsi"/>
                <w:color w:val="000000" w:themeColor="text1"/>
                <w:lang w:eastAsia="en-GB"/>
              </w:rPr>
              <w:t>Objective</w:t>
            </w:r>
          </w:p>
        </w:tc>
        <w:tc>
          <w:tcPr>
            <w:tcW w:w="5103" w:type="dxa"/>
          </w:tcPr>
          <w:p w14:paraId="45914011" w14:textId="7DB2FA36" w:rsidR="00214133" w:rsidRDefault="00214133" w:rsidP="00214133">
            <w:pPr>
              <w:rPr>
                <w:rFonts w:eastAsia="Times New Roman" w:cstheme="minorHAnsi"/>
                <w:color w:val="000000" w:themeColor="text1"/>
                <w:lang w:eastAsia="en-GB"/>
              </w:rPr>
            </w:pPr>
            <w:r>
              <w:rPr>
                <w:rFonts w:eastAsia="Times New Roman" w:cstheme="minorHAnsi"/>
                <w:color w:val="000000" w:themeColor="text1"/>
                <w:lang w:eastAsia="en-GB"/>
              </w:rPr>
              <w:t>Actions</w:t>
            </w:r>
          </w:p>
        </w:tc>
        <w:tc>
          <w:tcPr>
            <w:tcW w:w="992" w:type="dxa"/>
          </w:tcPr>
          <w:p w14:paraId="7053A20A" w14:textId="3E0D0620" w:rsidR="00214133" w:rsidRDefault="00214133" w:rsidP="00214133">
            <w:pPr>
              <w:rPr>
                <w:rFonts w:eastAsia="Times New Roman" w:cstheme="minorHAnsi"/>
                <w:color w:val="000000" w:themeColor="text1"/>
                <w:lang w:eastAsia="en-GB"/>
              </w:rPr>
            </w:pPr>
            <w:r>
              <w:rPr>
                <w:rFonts w:eastAsia="Times New Roman" w:cstheme="minorHAnsi"/>
                <w:color w:val="000000" w:themeColor="text1"/>
                <w:lang w:eastAsia="en-GB"/>
              </w:rPr>
              <w:t>Lead</w:t>
            </w:r>
          </w:p>
        </w:tc>
        <w:tc>
          <w:tcPr>
            <w:tcW w:w="2613" w:type="dxa"/>
          </w:tcPr>
          <w:p w14:paraId="537C5FFA" w14:textId="2F4BE2EF" w:rsidR="00214133" w:rsidRDefault="00214133" w:rsidP="00214133">
            <w:pPr>
              <w:rPr>
                <w:rFonts w:eastAsia="Times New Roman" w:cstheme="minorHAnsi"/>
                <w:color w:val="000000" w:themeColor="text1"/>
                <w:lang w:eastAsia="en-GB"/>
              </w:rPr>
            </w:pPr>
            <w:r>
              <w:rPr>
                <w:rFonts w:eastAsia="Times New Roman" w:cstheme="minorHAnsi"/>
                <w:color w:val="000000" w:themeColor="text1"/>
                <w:lang w:eastAsia="en-GB"/>
              </w:rPr>
              <w:t>Reporting and monitoring</w:t>
            </w:r>
          </w:p>
        </w:tc>
      </w:tr>
      <w:tr w:rsidR="008A1FB7" w14:paraId="7BDFA7A5" w14:textId="77777777" w:rsidTr="00214133">
        <w:tc>
          <w:tcPr>
            <w:tcW w:w="5240" w:type="dxa"/>
          </w:tcPr>
          <w:p w14:paraId="13FEDC89" w14:textId="4C0F7C03" w:rsidR="008A1FB7" w:rsidRPr="008A1FB7" w:rsidRDefault="008A1FB7" w:rsidP="008A1FB7">
            <w:pPr>
              <w:rPr>
                <w:rFonts w:cstheme="minorHAnsi"/>
                <w:spacing w:val="6"/>
                <w:shd w:val="clear" w:color="auto" w:fill="FFFFFF"/>
              </w:rPr>
            </w:pPr>
            <w:r w:rsidRPr="008A1FB7">
              <w:rPr>
                <w:rFonts w:cstheme="minorHAnsi"/>
                <w:spacing w:val="6"/>
                <w:shd w:val="clear" w:color="auto" w:fill="FFFFFF"/>
              </w:rPr>
              <w:t>To ensure all pupils have equality of opportunity and access to the highest standards of education and care.</w:t>
            </w:r>
          </w:p>
        </w:tc>
        <w:tc>
          <w:tcPr>
            <w:tcW w:w="5103" w:type="dxa"/>
          </w:tcPr>
          <w:p w14:paraId="1E1A7D7A" w14:textId="77777777" w:rsidR="008A1FB7" w:rsidRDefault="008A1FB7" w:rsidP="008A1FB7">
            <w:pPr>
              <w:rPr>
                <w:rFonts w:cstheme="minorHAnsi"/>
                <w:spacing w:val="6"/>
                <w:shd w:val="clear" w:color="auto" w:fill="FFFFFF"/>
              </w:rPr>
            </w:pPr>
            <w:r w:rsidRPr="008A1FB7">
              <w:rPr>
                <w:rFonts w:cstheme="minorHAnsi"/>
                <w:spacing w:val="6"/>
                <w:shd w:val="clear" w:color="auto" w:fill="FFFFFF"/>
              </w:rPr>
              <w:t>Provision of bespoke education pathways to ensure every pupil can achieve their potential</w:t>
            </w:r>
          </w:p>
          <w:p w14:paraId="335F2D17" w14:textId="39D975D4" w:rsidR="008A1FB7" w:rsidRDefault="008A1FB7" w:rsidP="008A1FB7">
            <w:pPr>
              <w:rPr>
                <w:rFonts w:cstheme="minorHAnsi"/>
                <w:spacing w:val="6"/>
                <w:shd w:val="clear" w:color="auto" w:fill="FFFFFF"/>
              </w:rPr>
            </w:pPr>
            <w:r w:rsidRPr="008A1FB7">
              <w:rPr>
                <w:rFonts w:cstheme="minorHAnsi"/>
                <w:spacing w:val="6"/>
                <w:shd w:val="clear" w:color="auto" w:fill="FFFFFF"/>
              </w:rPr>
              <w:t>Continued focus on the improved attainment and attendance of SEND, EAL and pupil premium pupils</w:t>
            </w:r>
          </w:p>
        </w:tc>
        <w:tc>
          <w:tcPr>
            <w:tcW w:w="992" w:type="dxa"/>
          </w:tcPr>
          <w:p w14:paraId="6551A378" w14:textId="77777777" w:rsidR="008A1FB7" w:rsidRDefault="008A1FB7" w:rsidP="00214133">
            <w:pPr>
              <w:rPr>
                <w:rFonts w:eastAsia="Times New Roman" w:cstheme="minorHAnsi"/>
                <w:color w:val="000000" w:themeColor="text1"/>
                <w:lang w:eastAsia="en-GB"/>
              </w:rPr>
            </w:pPr>
          </w:p>
        </w:tc>
        <w:tc>
          <w:tcPr>
            <w:tcW w:w="2613" w:type="dxa"/>
          </w:tcPr>
          <w:p w14:paraId="07F923D0" w14:textId="77777777" w:rsidR="008A1FB7" w:rsidRDefault="008A1FB7" w:rsidP="00214133">
            <w:pPr>
              <w:rPr>
                <w:rFonts w:eastAsia="Times New Roman" w:cstheme="minorHAnsi"/>
                <w:color w:val="000000" w:themeColor="text1"/>
                <w:lang w:eastAsia="en-GB"/>
              </w:rPr>
            </w:pPr>
          </w:p>
        </w:tc>
      </w:tr>
      <w:tr w:rsidR="008A1FB7" w14:paraId="599DD814" w14:textId="77777777" w:rsidTr="00214133">
        <w:tc>
          <w:tcPr>
            <w:tcW w:w="5240" w:type="dxa"/>
          </w:tcPr>
          <w:p w14:paraId="4DA4C95C" w14:textId="2C62E19D" w:rsidR="008A1FB7" w:rsidRPr="008A1FB7" w:rsidRDefault="008A1FB7" w:rsidP="008A1FB7">
            <w:pPr>
              <w:rPr>
                <w:rFonts w:cstheme="minorHAnsi"/>
                <w:spacing w:val="6"/>
                <w:shd w:val="clear" w:color="auto" w:fill="FFFFFF"/>
              </w:rPr>
            </w:pPr>
            <w:r w:rsidRPr="008A1FB7">
              <w:rPr>
                <w:rFonts w:cstheme="minorHAnsi"/>
                <w:spacing w:val="6"/>
                <w:shd w:val="clear" w:color="auto" w:fill="FFFFFF"/>
              </w:rPr>
              <w:t>To ensure staff and potential staff have equality of opportunity</w:t>
            </w:r>
          </w:p>
        </w:tc>
        <w:tc>
          <w:tcPr>
            <w:tcW w:w="5103" w:type="dxa"/>
          </w:tcPr>
          <w:p w14:paraId="16AFABF5" w14:textId="77777777" w:rsidR="008A1FB7" w:rsidRDefault="008A1FB7" w:rsidP="008A1FB7">
            <w:pPr>
              <w:rPr>
                <w:rFonts w:cstheme="minorHAnsi"/>
                <w:spacing w:val="6"/>
                <w:shd w:val="clear" w:color="auto" w:fill="FFFFFF"/>
              </w:rPr>
            </w:pPr>
            <w:r w:rsidRPr="008A1FB7">
              <w:rPr>
                <w:rFonts w:cstheme="minorHAnsi"/>
                <w:spacing w:val="6"/>
                <w:shd w:val="clear" w:color="auto" w:fill="FFFFFF"/>
              </w:rPr>
              <w:t>Keep all staffing related policies under review and assess their impact on equality of opportunity</w:t>
            </w:r>
          </w:p>
          <w:p w14:paraId="67D3F663" w14:textId="77777777" w:rsidR="008A1FB7" w:rsidRDefault="00314357" w:rsidP="008A1FB7">
            <w:pPr>
              <w:rPr>
                <w:rFonts w:cstheme="minorHAnsi"/>
                <w:spacing w:val="6"/>
                <w:shd w:val="clear" w:color="auto" w:fill="FFFFFF"/>
              </w:rPr>
            </w:pPr>
            <w:r w:rsidRPr="00314357">
              <w:rPr>
                <w:rFonts w:cstheme="minorHAnsi"/>
                <w:spacing w:val="6"/>
                <w:shd w:val="clear" w:color="auto" w:fill="FFFFFF"/>
              </w:rPr>
              <w:t>Undertake an analysis of the breadth of diversity in staffing across the Trust and assess the extent to which staff teams reflect the communities they serve.</w:t>
            </w:r>
          </w:p>
          <w:p w14:paraId="45CD9AA0" w14:textId="377E1BC6" w:rsidR="00314357" w:rsidRDefault="00314357" w:rsidP="008A1FB7">
            <w:pPr>
              <w:rPr>
                <w:rFonts w:cstheme="minorHAnsi"/>
                <w:spacing w:val="6"/>
                <w:shd w:val="clear" w:color="auto" w:fill="FFFFFF"/>
              </w:rPr>
            </w:pPr>
            <w:r w:rsidRPr="00314357">
              <w:rPr>
                <w:rFonts w:cstheme="minorHAnsi"/>
                <w:spacing w:val="6"/>
                <w:shd w:val="clear" w:color="auto" w:fill="FFFFFF"/>
              </w:rPr>
              <w:t>Review responses from the Staff Well-Being survey and develop both policy and practice to eliminate and mitigate against equality related issues cited.</w:t>
            </w:r>
          </w:p>
        </w:tc>
        <w:tc>
          <w:tcPr>
            <w:tcW w:w="992" w:type="dxa"/>
          </w:tcPr>
          <w:p w14:paraId="7BB1BB8C" w14:textId="77777777" w:rsidR="008A1FB7" w:rsidRDefault="008A1FB7" w:rsidP="00214133">
            <w:pPr>
              <w:rPr>
                <w:rFonts w:eastAsia="Times New Roman" w:cstheme="minorHAnsi"/>
                <w:color w:val="000000" w:themeColor="text1"/>
                <w:lang w:eastAsia="en-GB"/>
              </w:rPr>
            </w:pPr>
          </w:p>
        </w:tc>
        <w:tc>
          <w:tcPr>
            <w:tcW w:w="2613" w:type="dxa"/>
          </w:tcPr>
          <w:p w14:paraId="6C74D860" w14:textId="77777777" w:rsidR="008A1FB7" w:rsidRDefault="008A1FB7" w:rsidP="00214133">
            <w:pPr>
              <w:rPr>
                <w:rFonts w:eastAsia="Times New Roman" w:cstheme="minorHAnsi"/>
                <w:color w:val="000000" w:themeColor="text1"/>
                <w:lang w:eastAsia="en-GB"/>
              </w:rPr>
            </w:pPr>
          </w:p>
        </w:tc>
      </w:tr>
      <w:tr w:rsidR="008A1FB7" w14:paraId="02001A94" w14:textId="77777777" w:rsidTr="00214133">
        <w:tc>
          <w:tcPr>
            <w:tcW w:w="5240" w:type="dxa"/>
          </w:tcPr>
          <w:p w14:paraId="76B323BD" w14:textId="18EBCA03" w:rsidR="008A1FB7" w:rsidRPr="008A1FB7" w:rsidRDefault="008A1FB7" w:rsidP="008A1FB7">
            <w:pPr>
              <w:rPr>
                <w:rFonts w:cstheme="minorHAnsi"/>
                <w:spacing w:val="6"/>
                <w:shd w:val="clear" w:color="auto" w:fill="FFFFFF"/>
              </w:rPr>
            </w:pPr>
            <w:r w:rsidRPr="008A1FB7">
              <w:rPr>
                <w:rFonts w:cstheme="minorHAnsi"/>
                <w:spacing w:val="6"/>
                <w:shd w:val="clear" w:color="auto" w:fill="FFFFFF"/>
              </w:rPr>
              <w:lastRenderedPageBreak/>
              <w:t>Promote cultural understanding and awareness, valuing and celebrating a diverse range of cultures and religious beliefs including those amongst different ethnic groups within our communities.</w:t>
            </w:r>
          </w:p>
        </w:tc>
        <w:tc>
          <w:tcPr>
            <w:tcW w:w="5103" w:type="dxa"/>
          </w:tcPr>
          <w:p w14:paraId="516F060A" w14:textId="1D2C626C" w:rsidR="008A1FB7" w:rsidRPr="008A1FB7" w:rsidRDefault="008A1FB7" w:rsidP="008A1FB7">
            <w:pPr>
              <w:rPr>
                <w:rFonts w:cstheme="minorHAnsi"/>
                <w:spacing w:val="6"/>
                <w:shd w:val="clear" w:color="auto" w:fill="FFFFFF"/>
              </w:rPr>
            </w:pPr>
            <w:r>
              <w:rPr>
                <w:rFonts w:cstheme="minorHAnsi"/>
                <w:spacing w:val="6"/>
                <w:shd w:val="clear" w:color="auto" w:fill="FFFFFF"/>
              </w:rPr>
              <w:t>E</w:t>
            </w:r>
            <w:r w:rsidRPr="008A1FB7">
              <w:rPr>
                <w:rFonts w:cstheme="minorHAnsi"/>
                <w:spacing w:val="6"/>
                <w:shd w:val="clear" w:color="auto" w:fill="FFFFFF"/>
              </w:rPr>
              <w:t>nsure curriculum planning places diversity as a key principle at its core, for example, through the canon of literature children are exposed to in and outside of English lessons.  Opportunities such as Black History Month and community events will be capitalised on.  Assembly themes will reflect a diverse range of cultures and backgrounds.  Links will be made with parents/carers, the local and wider community to maximise opportunities to raise awareness of equality and diversity.  Staff will receive training to confidently respond to any occurrences of discrimination taking necessary action in line with Trust policies and procedures.</w:t>
            </w:r>
          </w:p>
        </w:tc>
        <w:tc>
          <w:tcPr>
            <w:tcW w:w="992" w:type="dxa"/>
          </w:tcPr>
          <w:p w14:paraId="2B479B8E" w14:textId="77777777" w:rsidR="008A1FB7" w:rsidRDefault="008A1FB7" w:rsidP="00214133">
            <w:pPr>
              <w:rPr>
                <w:rFonts w:eastAsia="Times New Roman" w:cstheme="minorHAnsi"/>
                <w:color w:val="000000" w:themeColor="text1"/>
                <w:lang w:eastAsia="en-GB"/>
              </w:rPr>
            </w:pPr>
          </w:p>
        </w:tc>
        <w:tc>
          <w:tcPr>
            <w:tcW w:w="2613" w:type="dxa"/>
          </w:tcPr>
          <w:p w14:paraId="75275BF7" w14:textId="77777777" w:rsidR="008A1FB7" w:rsidRDefault="008A1FB7" w:rsidP="00214133">
            <w:pPr>
              <w:rPr>
                <w:rFonts w:eastAsia="Times New Roman" w:cstheme="minorHAnsi"/>
                <w:color w:val="000000" w:themeColor="text1"/>
                <w:lang w:eastAsia="en-GB"/>
              </w:rPr>
            </w:pPr>
          </w:p>
        </w:tc>
      </w:tr>
      <w:tr w:rsidR="00214133" w14:paraId="0F8C7F75" w14:textId="77777777" w:rsidTr="00214133">
        <w:tc>
          <w:tcPr>
            <w:tcW w:w="5240" w:type="dxa"/>
          </w:tcPr>
          <w:p w14:paraId="0200B655" w14:textId="0277C446" w:rsidR="00214133" w:rsidRPr="008A1FB7" w:rsidRDefault="008A1FB7" w:rsidP="008A1FB7">
            <w:pPr>
              <w:rPr>
                <w:rFonts w:eastAsia="Times New Roman" w:cstheme="minorHAnsi"/>
                <w:lang w:eastAsia="en-GB"/>
              </w:rPr>
            </w:pPr>
            <w:r w:rsidRPr="008A1FB7">
              <w:rPr>
                <w:rFonts w:cstheme="minorHAnsi"/>
                <w:spacing w:val="6"/>
                <w:shd w:val="clear" w:color="auto" w:fill="FFFFFF"/>
              </w:rPr>
              <w:t>To ensure our facilities are accessible to all, promoting inclusivity.</w:t>
            </w:r>
          </w:p>
        </w:tc>
        <w:tc>
          <w:tcPr>
            <w:tcW w:w="5103" w:type="dxa"/>
          </w:tcPr>
          <w:p w14:paraId="705F989E" w14:textId="021CF998" w:rsidR="00214133" w:rsidRPr="008A1FB7" w:rsidRDefault="008A1FB7" w:rsidP="008A1FB7">
            <w:pPr>
              <w:rPr>
                <w:rFonts w:eastAsia="Times New Roman" w:cstheme="minorHAnsi"/>
                <w:lang w:eastAsia="en-GB"/>
              </w:rPr>
            </w:pPr>
            <w:r w:rsidRPr="008A1FB7">
              <w:rPr>
                <w:rFonts w:cstheme="minorHAnsi"/>
                <w:spacing w:val="6"/>
                <w:shd w:val="clear" w:color="auto" w:fill="FFFFFF"/>
              </w:rPr>
              <w:t>Regularly review and upgrade facilities to meet accessibility standards, including physical adaptations and inclusive communication resources.</w:t>
            </w:r>
          </w:p>
        </w:tc>
        <w:tc>
          <w:tcPr>
            <w:tcW w:w="992" w:type="dxa"/>
          </w:tcPr>
          <w:p w14:paraId="1E6ED904" w14:textId="77777777" w:rsidR="00214133" w:rsidRDefault="00214133" w:rsidP="00214133">
            <w:pPr>
              <w:rPr>
                <w:rFonts w:eastAsia="Times New Roman" w:cstheme="minorHAnsi"/>
                <w:color w:val="000000" w:themeColor="text1"/>
                <w:lang w:eastAsia="en-GB"/>
              </w:rPr>
            </w:pPr>
          </w:p>
        </w:tc>
        <w:tc>
          <w:tcPr>
            <w:tcW w:w="2613" w:type="dxa"/>
          </w:tcPr>
          <w:p w14:paraId="1D884359" w14:textId="77777777" w:rsidR="00214133" w:rsidRDefault="00214133" w:rsidP="00214133">
            <w:pPr>
              <w:rPr>
                <w:rFonts w:eastAsia="Times New Roman" w:cstheme="minorHAnsi"/>
                <w:color w:val="000000" w:themeColor="text1"/>
                <w:lang w:eastAsia="en-GB"/>
              </w:rPr>
            </w:pPr>
          </w:p>
        </w:tc>
      </w:tr>
      <w:tr w:rsidR="00214133" w14:paraId="011F00BE" w14:textId="77777777" w:rsidTr="00214133">
        <w:tc>
          <w:tcPr>
            <w:tcW w:w="5240" w:type="dxa"/>
          </w:tcPr>
          <w:p w14:paraId="0BD26909" w14:textId="69A164A1" w:rsidR="00214133" w:rsidRPr="008A1FB7" w:rsidRDefault="008A1FB7" w:rsidP="00214133">
            <w:pPr>
              <w:rPr>
                <w:rFonts w:eastAsia="Times New Roman" w:cstheme="minorHAnsi"/>
                <w:lang w:eastAsia="en-GB"/>
              </w:rPr>
            </w:pPr>
            <w:r w:rsidRPr="008A1FB7">
              <w:rPr>
                <w:rFonts w:eastAsia="Times New Roman" w:cstheme="minorHAnsi"/>
                <w:lang w:eastAsia="en-GB"/>
              </w:rPr>
              <w:t>Carefully monitor the progress and achievement of pupils against relevant and appropriate protected characteristics.</w:t>
            </w:r>
          </w:p>
        </w:tc>
        <w:tc>
          <w:tcPr>
            <w:tcW w:w="5103" w:type="dxa"/>
          </w:tcPr>
          <w:p w14:paraId="22143352" w14:textId="0AE06736" w:rsidR="00214133" w:rsidRPr="008A1FB7" w:rsidRDefault="008A1FB7" w:rsidP="00214133">
            <w:pPr>
              <w:rPr>
                <w:rFonts w:eastAsia="Times New Roman" w:cstheme="minorHAnsi"/>
                <w:lang w:eastAsia="en-GB"/>
              </w:rPr>
            </w:pPr>
            <w:r>
              <w:rPr>
                <w:rFonts w:eastAsia="Times New Roman" w:cstheme="minorHAnsi"/>
                <w:lang w:eastAsia="en-GB"/>
              </w:rPr>
              <w:t>A</w:t>
            </w:r>
            <w:r w:rsidRPr="008A1FB7">
              <w:rPr>
                <w:rFonts w:eastAsia="Times New Roman" w:cstheme="minorHAnsi"/>
                <w:lang w:eastAsia="en-GB"/>
              </w:rPr>
              <w:t>nalyse and evaluate all data as it becomes available devising appropriate strategies for any underachieving groups or individuals as appropriate.  Subsequently, identifying the impact of any adaptations implemented and making any further amendments in approach as necessary</w:t>
            </w:r>
          </w:p>
        </w:tc>
        <w:tc>
          <w:tcPr>
            <w:tcW w:w="992" w:type="dxa"/>
          </w:tcPr>
          <w:p w14:paraId="7C019B57" w14:textId="77777777" w:rsidR="00214133" w:rsidRDefault="00214133" w:rsidP="00214133">
            <w:pPr>
              <w:rPr>
                <w:rFonts w:eastAsia="Times New Roman" w:cstheme="minorHAnsi"/>
                <w:color w:val="000000" w:themeColor="text1"/>
                <w:lang w:eastAsia="en-GB"/>
              </w:rPr>
            </w:pPr>
          </w:p>
        </w:tc>
        <w:tc>
          <w:tcPr>
            <w:tcW w:w="2613" w:type="dxa"/>
          </w:tcPr>
          <w:p w14:paraId="64B14E8A" w14:textId="77777777" w:rsidR="00214133" w:rsidRDefault="00214133" w:rsidP="00214133">
            <w:pPr>
              <w:rPr>
                <w:rFonts w:eastAsia="Times New Roman" w:cstheme="minorHAnsi"/>
                <w:color w:val="000000" w:themeColor="text1"/>
                <w:lang w:eastAsia="en-GB"/>
              </w:rPr>
            </w:pPr>
          </w:p>
        </w:tc>
      </w:tr>
    </w:tbl>
    <w:p w14:paraId="0710BDD0" w14:textId="77777777" w:rsidR="00214133" w:rsidRPr="00214133" w:rsidRDefault="00214133" w:rsidP="00214133">
      <w:pPr>
        <w:shd w:val="clear" w:color="auto" w:fill="FFFFFF"/>
        <w:spacing w:after="0" w:line="240" w:lineRule="auto"/>
        <w:rPr>
          <w:rFonts w:eastAsia="Times New Roman" w:cstheme="minorHAnsi"/>
          <w:color w:val="000000" w:themeColor="text1"/>
          <w:lang w:eastAsia="en-GB"/>
        </w:rPr>
      </w:pPr>
    </w:p>
    <w:p w14:paraId="68987C9E" w14:textId="77777777" w:rsidR="00214133" w:rsidRDefault="00214133"/>
    <w:sectPr w:rsidR="00214133" w:rsidSect="0021413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990052"/>
    <w:multiLevelType w:val="multilevel"/>
    <w:tmpl w:val="149A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133"/>
    <w:rsid w:val="001E5EE3"/>
    <w:rsid w:val="001F640D"/>
    <w:rsid w:val="00214133"/>
    <w:rsid w:val="00314357"/>
    <w:rsid w:val="00593464"/>
    <w:rsid w:val="008A1FB7"/>
    <w:rsid w:val="00BF497B"/>
    <w:rsid w:val="00F87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2EE39"/>
  <w15:chartTrackingRefBased/>
  <w15:docId w15:val="{92EC25A0-C65D-40B4-BD79-37A3D3D6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21413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1413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2141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tro">
    <w:name w:val="intro"/>
    <w:basedOn w:val="DefaultParagraphFont"/>
    <w:rsid w:val="00214133"/>
  </w:style>
  <w:style w:type="table" w:styleId="TableGrid">
    <w:name w:val="Table Grid"/>
    <w:basedOn w:val="TableNormal"/>
    <w:uiPriority w:val="39"/>
    <w:rsid w:val="0021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A1F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6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4d9834b-f7f0-48e8-93c5-5be1f33c40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BF5C179DD1E94292B599C6ADF7E4BA" ma:contentTypeVersion="18" ma:contentTypeDescription="Create a new document." ma:contentTypeScope="" ma:versionID="fb21c2e181f9a9411a52642fc3c84288">
  <xsd:schema xmlns:xsd="http://www.w3.org/2001/XMLSchema" xmlns:xs="http://www.w3.org/2001/XMLSchema" xmlns:p="http://schemas.microsoft.com/office/2006/metadata/properties" xmlns:ns3="1fcabe72-5bf6-42cd-bc42-aba988242c25" xmlns:ns4="04d9834b-f7f0-48e8-93c5-5be1f33c405b" targetNamespace="http://schemas.microsoft.com/office/2006/metadata/properties" ma:root="true" ma:fieldsID="17d1a58b2e131d5a32429ec50021feb6" ns3:_="" ns4:_="">
    <xsd:import namespace="1fcabe72-5bf6-42cd-bc42-aba988242c25"/>
    <xsd:import namespace="04d9834b-f7f0-48e8-93c5-5be1f33c40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OCR"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abe72-5bf6-42cd-bc42-aba988242c2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9834b-f7f0-48e8-93c5-5be1f33c405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6B5C1D-A1C7-497B-A288-D3632C527D70}">
  <ds:schemaRefs>
    <ds:schemaRef ds:uri="http://schemas.microsoft.com/office/2006/metadata/properties"/>
    <ds:schemaRef ds:uri="http://schemas.microsoft.com/office/infopath/2007/PartnerControls"/>
    <ds:schemaRef ds:uri="04d9834b-f7f0-48e8-93c5-5be1f33c405b"/>
  </ds:schemaRefs>
</ds:datastoreItem>
</file>

<file path=customXml/itemProps2.xml><?xml version="1.0" encoding="utf-8"?>
<ds:datastoreItem xmlns:ds="http://schemas.openxmlformats.org/officeDocument/2006/customXml" ds:itemID="{1E53B610-E88C-44DC-9752-DDA2B930E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abe72-5bf6-42cd-bc42-aba988242c25"/>
    <ds:schemaRef ds:uri="04d9834b-f7f0-48e8-93c5-5be1f33c4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18802D-1C82-4E75-9B93-10BA599669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Darran Jones</dc:creator>
  <cp:keywords/>
  <dc:description/>
  <cp:lastModifiedBy>S Wong (SW)</cp:lastModifiedBy>
  <cp:revision>2</cp:revision>
  <dcterms:created xsi:type="dcterms:W3CDTF">2026-07-06T10:03:00Z</dcterms:created>
  <dcterms:modified xsi:type="dcterms:W3CDTF">2026-07-06T10:03:00Z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0x010100D4BF5C179DD1E94292B599C6ADF7E4BA</vt:lpwstr>
  </property>
</Properties>
</file>