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5260AEAF" w:rsidR="00F15C6E" w:rsidRPr="002A2B1C" w:rsidRDefault="003B00E7" w:rsidP="0051627D">
      <w:pPr>
        <w:jc w:val="center"/>
        <w:rPr>
          <w:rFonts w:ascii="Comic Sans MS" w:hAnsi="Comic Sans MS"/>
        </w:rPr>
      </w:pPr>
      <w:r>
        <w:rPr>
          <w:rFonts w:ascii="Comic Sans MS" w:hAnsi="Comic Sans MS"/>
        </w:rPr>
        <w:t>Exclusion</w:t>
      </w:r>
      <w:r w:rsidR="00F15C6E" w:rsidRPr="002A2B1C">
        <w:rPr>
          <w:rFonts w:ascii="Comic Sans MS" w:hAnsi="Comic Sans MS"/>
        </w:rPr>
        <w:t xml:space="preserve"> Policy</w:t>
      </w:r>
    </w:p>
    <w:p w14:paraId="633B774B" w14:textId="7B5C5CDF" w:rsidR="00556EC6" w:rsidRPr="002A2B1C" w:rsidRDefault="00556EC6" w:rsidP="00556EC6">
      <w:pPr>
        <w:jc w:val="center"/>
        <w:rPr>
          <w:rFonts w:ascii="Comic Sans MS" w:hAnsi="Comic Sans MS"/>
        </w:rPr>
      </w:pPr>
      <w:r w:rsidRPr="002A2B1C">
        <w:rPr>
          <w:rFonts w:ascii="Comic Sans MS" w:hAnsi="Comic Sans MS"/>
        </w:rPr>
        <w:t>Love; Learn; Aspire; Achieve</w:t>
      </w:r>
    </w:p>
    <w:p w14:paraId="10084206" w14:textId="27D98CEA" w:rsidR="00144FA1" w:rsidRPr="002A2B1C" w:rsidRDefault="00144FA1" w:rsidP="00556EC6">
      <w:pPr>
        <w:jc w:val="center"/>
        <w:rPr>
          <w:rFonts w:ascii="Comic Sans MS" w:hAnsi="Comic Sans MS"/>
        </w:rPr>
      </w:pPr>
      <w:r w:rsidRPr="002A2B1C">
        <w:rPr>
          <w:rFonts w:ascii="Comic Sans MS" w:hAnsi="Comic Sans MS"/>
        </w:rPr>
        <w:t>Ready; Respectful: Resilient</w:t>
      </w:r>
    </w:p>
    <w:p w14:paraId="252C3C0E" w14:textId="77777777" w:rsidR="001B6FC3" w:rsidRPr="002A2B1C" w:rsidRDefault="001B6FC3" w:rsidP="0051627D">
      <w:pPr>
        <w:rPr>
          <w:rFonts w:ascii="Comic Sans MS" w:hAnsi="Comic Sans MS"/>
        </w:rPr>
      </w:pPr>
    </w:p>
    <w:p w14:paraId="324DBAA7" w14:textId="28E07241" w:rsidR="00F15C6E" w:rsidRPr="002A2B1C" w:rsidRDefault="00695A5E" w:rsidP="0051627D">
      <w:pPr>
        <w:rPr>
          <w:rFonts w:ascii="Comic Sans MS" w:hAnsi="Comic Sans MS"/>
        </w:rPr>
      </w:pPr>
      <w:r w:rsidRPr="002A2B1C">
        <w:rPr>
          <w:rFonts w:ascii="Comic Sans MS" w:hAnsi="Comic Sans MS"/>
        </w:rPr>
        <w:t>September 20</w:t>
      </w:r>
      <w:r w:rsidR="00187877" w:rsidRPr="002A2B1C">
        <w:rPr>
          <w:rFonts w:ascii="Comic Sans MS" w:hAnsi="Comic Sans MS"/>
        </w:rPr>
        <w:t>2</w:t>
      </w:r>
      <w:r w:rsidR="00104196" w:rsidRPr="002A2B1C">
        <w:rPr>
          <w:rFonts w:ascii="Comic Sans MS" w:hAnsi="Comic Sans MS"/>
        </w:rPr>
        <w:t>5</w:t>
      </w:r>
      <w:r w:rsidR="00F15C6E" w:rsidRPr="002A2B1C">
        <w:rPr>
          <w:rFonts w:ascii="Comic Sans MS" w:hAnsi="Comic Sans MS"/>
        </w:rPr>
        <w:tab/>
      </w:r>
      <w:r w:rsidR="00F15C6E" w:rsidRPr="002A2B1C">
        <w:rPr>
          <w:rFonts w:ascii="Comic Sans MS" w:hAnsi="Comic Sans MS"/>
        </w:rPr>
        <w:tab/>
      </w:r>
      <w:r w:rsidR="00F15C6E" w:rsidRPr="002A2B1C">
        <w:rPr>
          <w:rFonts w:ascii="Comic Sans MS" w:hAnsi="Comic Sans MS"/>
        </w:rPr>
        <w:tab/>
        <w:t>Review date:</w:t>
      </w:r>
      <w:r w:rsidR="00F15C6E" w:rsidRPr="002A2B1C">
        <w:rPr>
          <w:rFonts w:ascii="Comic Sans MS" w:hAnsi="Comic Sans MS"/>
        </w:rPr>
        <w:tab/>
        <w:t xml:space="preserve"> </w:t>
      </w:r>
      <w:r w:rsidRPr="002A2B1C">
        <w:rPr>
          <w:rFonts w:ascii="Comic Sans MS" w:hAnsi="Comic Sans MS"/>
        </w:rPr>
        <w:t>September 202</w:t>
      </w:r>
      <w:r w:rsidR="003B00E7">
        <w:rPr>
          <w:rFonts w:ascii="Comic Sans MS" w:hAnsi="Comic Sans MS"/>
        </w:rPr>
        <w:t>8</w:t>
      </w:r>
    </w:p>
    <w:p w14:paraId="3BCAFED6" w14:textId="273F65CA" w:rsidR="002A2B1C" w:rsidRDefault="002A2B1C" w:rsidP="002A2B1C">
      <w:pPr>
        <w:spacing w:line="360" w:lineRule="auto"/>
        <w:jc w:val="both"/>
        <w:rPr>
          <w:rFonts w:ascii="Comic Sans MS" w:hAnsi="Comic Sans MS"/>
          <w:i/>
          <w:iCs/>
        </w:rPr>
      </w:pPr>
    </w:p>
    <w:p w14:paraId="57A5C3EA" w14:textId="77777777" w:rsidR="003B00E7" w:rsidRPr="00D14C9B" w:rsidRDefault="003B00E7" w:rsidP="003B00E7">
      <w:pPr>
        <w:shd w:val="clear" w:color="auto" w:fill="FFFFFF"/>
        <w:spacing w:before="240" w:after="240"/>
        <w:ind w:left="1" w:hanging="3"/>
        <w:rPr>
          <w:rFonts w:ascii="Comic Sans MS" w:eastAsia="Trebuchet MS" w:hAnsi="Comic Sans MS" w:cs="Trebuchet MS"/>
          <w:b/>
        </w:rPr>
      </w:pPr>
      <w:r w:rsidRPr="00D14C9B">
        <w:rPr>
          <w:rFonts w:ascii="Comic Sans MS" w:eastAsia="Trebuchet MS" w:hAnsi="Comic Sans MS" w:cs="Trebuchet MS"/>
          <w:b/>
        </w:rPr>
        <w:t>1. Aims</w:t>
      </w:r>
    </w:p>
    <w:p w14:paraId="0D59D688" w14:textId="77777777" w:rsidR="003B00E7" w:rsidRPr="00D14C9B" w:rsidRDefault="003B00E7" w:rsidP="003B00E7">
      <w:pPr>
        <w:shd w:val="clear" w:color="auto" w:fill="FFFFFF"/>
        <w:spacing w:before="240" w:after="240"/>
        <w:ind w:hanging="2"/>
        <w:rPr>
          <w:rFonts w:ascii="Comic Sans MS" w:eastAsia="Trebuchet MS" w:hAnsi="Comic Sans MS" w:cs="Trebuchet MS"/>
        </w:rPr>
      </w:pPr>
      <w:r w:rsidRPr="00D14C9B">
        <w:rPr>
          <w:rFonts w:ascii="Comic Sans MS" w:eastAsia="Trebuchet MS" w:hAnsi="Comic Sans MS" w:cs="Trebuchet MS"/>
        </w:rPr>
        <w:t>Our school aims to ensure that:</w:t>
      </w:r>
    </w:p>
    <w:p w14:paraId="4A87CFCF" w14:textId="77777777" w:rsidR="003B00E7" w:rsidRPr="00D14C9B" w:rsidRDefault="003B00E7" w:rsidP="003B00E7">
      <w:pPr>
        <w:shd w:val="clear" w:color="auto" w:fill="FFFFFF"/>
        <w:spacing w:before="240" w:after="240"/>
        <w:ind w:hanging="2"/>
        <w:rPr>
          <w:rFonts w:ascii="Comic Sans MS" w:eastAsia="Trebuchet MS" w:hAnsi="Comic Sans MS" w:cs="Trebuchet MS"/>
        </w:rPr>
      </w:pPr>
      <w:r w:rsidRPr="00D14C9B">
        <w:rPr>
          <w:rFonts w:ascii="Comic Sans MS" w:eastAsia="Trebuchet MS" w:hAnsi="Comic Sans MS" w:cs="Trebuchet MS"/>
        </w:rPr>
        <w:t xml:space="preserve"> </w:t>
      </w:r>
      <w:r w:rsidRPr="00D14C9B">
        <w:rPr>
          <w:rFonts w:ascii="Comic Sans MS" w:eastAsia="Trebuchet MS" w:hAnsi="Comic Sans MS" w:cs="Trebuchet MS"/>
        </w:rPr>
        <w:tab/>
        <w:t>The exclusions process is applied fairly and consistently</w:t>
      </w:r>
    </w:p>
    <w:p w14:paraId="573C1F13" w14:textId="77777777" w:rsidR="003B00E7" w:rsidRPr="00D14C9B" w:rsidRDefault="003B00E7" w:rsidP="003B00E7">
      <w:pPr>
        <w:shd w:val="clear" w:color="auto" w:fill="FFFFFF"/>
        <w:spacing w:before="240" w:after="240"/>
        <w:ind w:hanging="2"/>
        <w:rPr>
          <w:rFonts w:ascii="Comic Sans MS" w:eastAsia="Trebuchet MS" w:hAnsi="Comic Sans MS" w:cs="Trebuchet MS"/>
        </w:rPr>
      </w:pPr>
      <w:r w:rsidRPr="00D14C9B">
        <w:rPr>
          <w:rFonts w:ascii="Comic Sans MS" w:eastAsia="Trebuchet MS" w:hAnsi="Comic Sans MS" w:cs="Trebuchet MS"/>
        </w:rPr>
        <w:t xml:space="preserve"> </w:t>
      </w:r>
      <w:r w:rsidRPr="00D14C9B">
        <w:rPr>
          <w:rFonts w:ascii="Comic Sans MS" w:eastAsia="Trebuchet MS" w:hAnsi="Comic Sans MS" w:cs="Trebuchet MS"/>
        </w:rPr>
        <w:tab/>
        <w:t>The exclusions process is understood by governors, staff, parents and pupils</w:t>
      </w:r>
    </w:p>
    <w:p w14:paraId="388104CD" w14:textId="77777777" w:rsidR="003B00E7" w:rsidRPr="00D14C9B" w:rsidRDefault="003B00E7" w:rsidP="003B00E7">
      <w:pPr>
        <w:shd w:val="clear" w:color="auto" w:fill="FFFFFF"/>
        <w:spacing w:before="240" w:after="240"/>
        <w:ind w:hanging="2"/>
        <w:rPr>
          <w:rFonts w:ascii="Comic Sans MS" w:eastAsia="Trebuchet MS" w:hAnsi="Comic Sans MS" w:cs="Trebuchet MS"/>
        </w:rPr>
      </w:pPr>
      <w:r w:rsidRPr="00D14C9B">
        <w:rPr>
          <w:rFonts w:ascii="Comic Sans MS" w:eastAsia="Trebuchet MS" w:hAnsi="Comic Sans MS" w:cs="Trebuchet MS"/>
        </w:rPr>
        <w:t xml:space="preserve"> </w:t>
      </w:r>
      <w:r w:rsidRPr="00D14C9B">
        <w:rPr>
          <w:rFonts w:ascii="Comic Sans MS" w:eastAsia="Trebuchet MS" w:hAnsi="Comic Sans MS" w:cs="Trebuchet MS"/>
        </w:rPr>
        <w:tab/>
        <w:t>Pupils in school are safe and happy</w:t>
      </w:r>
    </w:p>
    <w:p w14:paraId="48A211B3" w14:textId="0C7C2BE7" w:rsidR="003B00E7" w:rsidRPr="00D14C9B" w:rsidRDefault="003B00E7" w:rsidP="003B00E7">
      <w:pPr>
        <w:shd w:val="clear" w:color="auto" w:fill="FFFFFF"/>
        <w:spacing w:before="240" w:after="240"/>
        <w:ind w:hanging="2"/>
        <w:rPr>
          <w:rFonts w:ascii="Comic Sans MS" w:eastAsia="Trebuchet MS" w:hAnsi="Comic Sans MS" w:cs="Trebuchet MS"/>
        </w:rPr>
      </w:pPr>
      <w:r w:rsidRPr="00D14C9B">
        <w:rPr>
          <w:rFonts w:ascii="Comic Sans MS" w:eastAsia="Trebuchet MS" w:hAnsi="Comic Sans MS" w:cs="Trebuchet MS"/>
        </w:rPr>
        <w:t xml:space="preserve"> </w:t>
      </w:r>
      <w:r w:rsidRPr="00D14C9B">
        <w:rPr>
          <w:rFonts w:ascii="Comic Sans MS" w:eastAsia="Trebuchet MS" w:hAnsi="Comic Sans MS" w:cs="Trebuchet MS"/>
        </w:rPr>
        <w:tab/>
        <w:t>Pupils do not become NEET (not in education, employment or training)</w:t>
      </w:r>
    </w:p>
    <w:p w14:paraId="12AD0168" w14:textId="02D651F2" w:rsidR="00D14C9B" w:rsidRDefault="00D14C9B" w:rsidP="003B00E7">
      <w:pPr>
        <w:shd w:val="clear" w:color="auto" w:fill="FFFFFF"/>
        <w:spacing w:before="240" w:after="240"/>
        <w:ind w:hanging="2"/>
        <w:rPr>
          <w:rFonts w:ascii="Comic Sans MS" w:eastAsia="Trebuchet MS" w:hAnsi="Comic Sans MS" w:cs="Trebuchet MS"/>
        </w:rPr>
      </w:pPr>
      <w:r w:rsidRPr="00D14C9B">
        <w:rPr>
          <w:rFonts w:ascii="Comic Sans MS" w:eastAsia="Trebuchet MS" w:hAnsi="Comic Sans MS" w:cs="Trebuchet MS"/>
        </w:rPr>
        <w:tab/>
      </w:r>
      <w:r w:rsidRPr="00D14C9B">
        <w:rPr>
          <w:rFonts w:ascii="Comic Sans MS" w:eastAsia="Trebuchet MS" w:hAnsi="Comic Sans MS" w:cs="Trebuchet MS"/>
        </w:rPr>
        <w:tab/>
        <w:t>A safe, supportive and nurturing environment is in place enabling all children to flourish.</w:t>
      </w:r>
    </w:p>
    <w:p w14:paraId="7312522E" w14:textId="356602DC" w:rsidR="00D14C9B" w:rsidRPr="00D14C9B" w:rsidRDefault="00D14C9B" w:rsidP="003B00E7">
      <w:pPr>
        <w:shd w:val="clear" w:color="auto" w:fill="FFFFFF"/>
        <w:spacing w:before="240" w:after="240"/>
        <w:ind w:hanging="2"/>
        <w:rPr>
          <w:rFonts w:ascii="Comic Sans MS" w:eastAsia="Trebuchet MS" w:hAnsi="Comic Sans MS" w:cs="Trebuchet MS"/>
        </w:rPr>
      </w:pPr>
      <w:r>
        <w:rPr>
          <w:rFonts w:ascii="Comic Sans MS" w:eastAsia="Trebuchet MS" w:hAnsi="Comic Sans MS" w:cs="Trebuchet MS"/>
        </w:rPr>
        <w:tab/>
      </w:r>
      <w:r>
        <w:rPr>
          <w:rFonts w:ascii="Comic Sans MS" w:eastAsia="Trebuchet MS" w:hAnsi="Comic Sans MS" w:cs="Trebuchet MS"/>
        </w:rPr>
        <w:tab/>
        <w:t>Establish an approach to behaviour management that is rooted in Christian values.</w:t>
      </w:r>
    </w:p>
    <w:p w14:paraId="0C8DE915"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2. Legislation and statutory guidance</w:t>
      </w:r>
    </w:p>
    <w:p w14:paraId="3B33711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This policy is based on statutory guidance from the Department for Education: Exclusion from maintained schools, academies and pupil referral units (PRUs) in England. </w:t>
      </w:r>
    </w:p>
    <w:p w14:paraId="3F8579FC"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It is based on the following legislation, which outline schools’ powers to exclude pupils:</w:t>
      </w:r>
    </w:p>
    <w:p w14:paraId="7EA5861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Section 52 of the Education Act 2002, as amended by the Education Act 2011</w:t>
      </w:r>
    </w:p>
    <w:p w14:paraId="2F1646D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School Discipline (Pupil Exclusions and Reviews) (England) Regulations 2012</w:t>
      </w:r>
    </w:p>
    <w:p w14:paraId="04A8BDB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Sections 64-68 of the School Standards and Framework Act 1998</w:t>
      </w:r>
    </w:p>
    <w:p w14:paraId="5881CE05"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In addition, the policy is based on:</w:t>
      </w:r>
    </w:p>
    <w:p w14:paraId="06C981C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lastRenderedPageBreak/>
        <w:t xml:space="preserve"> </w:t>
      </w:r>
      <w:r>
        <w:rPr>
          <w:rFonts w:ascii="Trebuchet MS" w:eastAsia="Trebuchet MS" w:hAnsi="Trebuchet MS" w:cs="Trebuchet MS"/>
        </w:rPr>
        <w:tab/>
        <w:t>Part 7, chapter 2 of the Education and Inspections Act 2006, which looks at parental responsibility for excluded pupils</w:t>
      </w:r>
    </w:p>
    <w:p w14:paraId="7B84F267"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 xml:space="preserve">Section 579 of the Education Act 1996, which defines ‘school day’ </w:t>
      </w:r>
    </w:p>
    <w:p w14:paraId="3654595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Education (Provision of Full-Time Education for Excluded Pupils) (England) Regulations 2007, as amended by The Education (Provision of Full-Time Education for Excluded Pupils) (England) (Amendment) Regulations 2014</w:t>
      </w:r>
    </w:p>
    <w:p w14:paraId="5CF37B06" w14:textId="4AFD18DC"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3. The decision to exclude</w:t>
      </w:r>
      <w:r w:rsidR="00D14C9B">
        <w:rPr>
          <w:rFonts w:ascii="Trebuchet MS" w:eastAsia="Trebuchet MS" w:hAnsi="Trebuchet MS" w:cs="Trebuchet MS"/>
          <w:b/>
          <w:sz w:val="28"/>
          <w:szCs w:val="28"/>
        </w:rPr>
        <w:t xml:space="preserve"> </w:t>
      </w:r>
      <w:proofErr w:type="gramStart"/>
      <w:r w:rsidR="00D14C9B">
        <w:rPr>
          <w:rFonts w:ascii="Trebuchet MS" w:eastAsia="Trebuchet MS" w:hAnsi="Trebuchet MS" w:cs="Trebuchet MS"/>
          <w:b/>
          <w:sz w:val="28"/>
          <w:szCs w:val="28"/>
        </w:rPr>
        <w:t>( a</w:t>
      </w:r>
      <w:proofErr w:type="gramEnd"/>
      <w:r w:rsidR="00D14C9B">
        <w:rPr>
          <w:rFonts w:ascii="Trebuchet MS" w:eastAsia="Trebuchet MS" w:hAnsi="Trebuchet MS" w:cs="Trebuchet MS"/>
          <w:b/>
          <w:sz w:val="28"/>
          <w:szCs w:val="28"/>
        </w:rPr>
        <w:t xml:space="preserve"> last resort)</w:t>
      </w:r>
    </w:p>
    <w:p w14:paraId="03C38607"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Only the headteacher, or acting headteacher, can exclude a pupil from school. A permanent exclusion will be taken as a last resort.</w:t>
      </w:r>
    </w:p>
    <w:p w14:paraId="7EF95CC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Our school is aware that off-rolling is unlawful. </w:t>
      </w:r>
      <w:proofErr w:type="spellStart"/>
      <w:r>
        <w:rPr>
          <w:rFonts w:ascii="Trebuchet MS" w:eastAsia="Trebuchet MS" w:hAnsi="Trebuchet MS" w:cs="Trebuchet MS"/>
        </w:rPr>
        <w:t>Ofsted</w:t>
      </w:r>
      <w:proofErr w:type="spellEnd"/>
      <w:r>
        <w:rPr>
          <w:rFonts w:ascii="Trebuchet MS" w:eastAsia="Trebuchet MS" w:hAnsi="Trebuchet MS" w:cs="Trebuchet MS"/>
        </w:rPr>
        <w:t xml:space="preserve"> defines off-rolling as:</w:t>
      </w:r>
    </w:p>
    <w:p w14:paraId="3F69653C"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practice of removing a pupil from the school roll without a formal, permanent exclusion or by encouraging a parent to remove their child from the school roll, when the removal is primarily in the interests of the school rather than in the best interests of the pupil.”</w:t>
      </w:r>
    </w:p>
    <w:p w14:paraId="495D7CF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We are committed to following all statutory exclusions procedures to ensure that every child receives an education in a safe and caring environment.</w:t>
      </w:r>
    </w:p>
    <w:p w14:paraId="228F3B1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A decision to exclude a pupil will be taken only:</w:t>
      </w:r>
    </w:p>
    <w:p w14:paraId="6BD9A4E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In response to serious or persistent breaches of the school’s behaviour policy, and</w:t>
      </w:r>
    </w:p>
    <w:p w14:paraId="17985F2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 xml:space="preserve">If allowing the pupil to remain in school would seriously harm the education or welfare of others </w:t>
      </w:r>
    </w:p>
    <w:p w14:paraId="4B873335"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Before deciding whether to exclude a pupil, either permanently or for a fixed period, the headteacher will:</w:t>
      </w:r>
    </w:p>
    <w:p w14:paraId="1CC4628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Consider all the relevant facts and evidence, including whether the incident(s) leading to the exclusion were provoked</w:t>
      </w:r>
    </w:p>
    <w:p w14:paraId="3503B81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Allow the pupil to give their version of events</w:t>
      </w:r>
    </w:p>
    <w:p w14:paraId="6AB94FC5"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Consider if the pupil has special educational needs (SEN) or is suffering from adverse childhood trauma.</w:t>
      </w:r>
    </w:p>
    <w:p w14:paraId="62363279"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4. Definition</w:t>
      </w:r>
    </w:p>
    <w:p w14:paraId="543B3A1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For the purposes of exclusions, school day is defined as any day on which there is a school session. Therefore, INSET or staff training days do not count as a school day. </w:t>
      </w:r>
    </w:p>
    <w:p w14:paraId="7F30D1BB"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5. Roles and responsibilities</w:t>
      </w:r>
    </w:p>
    <w:p w14:paraId="0EEAEE6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5.1 The headteacher </w:t>
      </w:r>
    </w:p>
    <w:p w14:paraId="65C93F8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lastRenderedPageBreak/>
        <w:t>Informing parents</w:t>
      </w:r>
    </w:p>
    <w:p w14:paraId="74973B3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headteacher will immediately provide the following information, in writing, to the parents of an excluded pupil:</w:t>
      </w:r>
    </w:p>
    <w:p w14:paraId="68C8968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reason(s) for the exclusion</w:t>
      </w:r>
    </w:p>
    <w:p w14:paraId="7242E319" w14:textId="72608926"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 xml:space="preserve">The length of a </w:t>
      </w:r>
      <w:r w:rsidR="00D14C9B">
        <w:rPr>
          <w:rFonts w:ascii="Trebuchet MS" w:eastAsia="Trebuchet MS" w:hAnsi="Trebuchet MS" w:cs="Trebuchet MS"/>
        </w:rPr>
        <w:t>suspension</w:t>
      </w:r>
      <w:r>
        <w:rPr>
          <w:rFonts w:ascii="Trebuchet MS" w:eastAsia="Trebuchet MS" w:hAnsi="Trebuchet MS" w:cs="Trebuchet MS"/>
        </w:rPr>
        <w:t xml:space="preserve"> or, for a permanent exclusion, the fact that it is permanent</w:t>
      </w:r>
    </w:p>
    <w:p w14:paraId="0B0F292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Information about parents’ right to make representations about the exclusion to the governing board and how the pupil may be involved in this</w:t>
      </w:r>
    </w:p>
    <w:p w14:paraId="5FAB56D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Where there is a legal requirement for the governing board to meet to consider the reinstatement of a pupil, and that parents have a right to attend a meeting, be represented at a meeting (at their own expense) and to bring a friend.</w:t>
      </w:r>
    </w:p>
    <w:p w14:paraId="4B2EAE5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The headteacher will also notify parents by the end of the afternoon session on the day their child is excluded that for the first 5 school days of an exclusion, or until the start date of any alternative provision where this is earlier, parents are legally required to ensure that their child is not present in a public place during school hours without a good reason. Parents may be given a fixed penalty notice or prosecuted if they fail to do this. </w:t>
      </w:r>
    </w:p>
    <w:p w14:paraId="58E27F8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If alternative provision is being arranged, the following information will be included when notifying parents of an exclusion:</w:t>
      </w:r>
    </w:p>
    <w:p w14:paraId="0443C5B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 xml:space="preserve">The start date for any provision of full-time education that has been arranged </w:t>
      </w:r>
    </w:p>
    <w:p w14:paraId="370515F6"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start and finish times of any such provision, including the times for morning and afternoon sessions, where relevant</w:t>
      </w:r>
    </w:p>
    <w:p w14:paraId="59284A5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address at which the provision will take place</w:t>
      </w:r>
    </w:p>
    <w:p w14:paraId="79B8F2D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Any information required by the pupil to identify the person they should report to on the first day</w:t>
      </w:r>
    </w:p>
    <w:p w14:paraId="474969B7"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Where this information on alternative provision is not reasonably ascertainable by the end of the afternoon session, it may be provided in a subsequent notice, but it will be provided no later than 48 hours before the provision is due to start. The only exception to this is where alternative provision is to be provided before the sixth day of an exclusion, in which case the information can be provided with less than 48 hours’ notice with parents’ consent.</w:t>
      </w:r>
    </w:p>
    <w:p w14:paraId="6669671F"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Informing the governing board and local authority</w:t>
      </w:r>
    </w:p>
    <w:p w14:paraId="74A601B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headteacher will immediately notify the governing board and the local authority (LA) of:</w:t>
      </w:r>
    </w:p>
    <w:p w14:paraId="1F9C306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 permanent exclusion, including when a fixed-period exclusion is made permanent</w:t>
      </w:r>
    </w:p>
    <w:p w14:paraId="45F8D8EC"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lastRenderedPageBreak/>
        <w:t xml:space="preserve"> </w:t>
      </w:r>
      <w:r>
        <w:rPr>
          <w:rFonts w:ascii="Trebuchet MS" w:eastAsia="Trebuchet MS" w:hAnsi="Trebuchet MS" w:cs="Trebuchet MS"/>
        </w:rPr>
        <w:tab/>
        <w:t>Exclusions which would result in the pupil being excluded for more than 5 school days (or more than 10 lunchtimes) in a term</w:t>
      </w:r>
    </w:p>
    <w:p w14:paraId="76A6ADD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 xml:space="preserve">Exclusions which would result in the pupil missing a public examination </w:t>
      </w:r>
    </w:p>
    <w:p w14:paraId="73684F0C"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For a permanent exclusion, if the pupil lives outside the LA in which the school is located, the headteacher will also immediately inform the pupil’s ‘home authority’ of the exclusion and the reason(s) for it without delay.</w:t>
      </w:r>
    </w:p>
    <w:p w14:paraId="03AD6AE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For all other exclusions, the headteacher will notify the governing board and LA once a term.</w:t>
      </w:r>
    </w:p>
    <w:p w14:paraId="2EEA2CC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5.2 The governing board</w:t>
      </w:r>
    </w:p>
    <w:p w14:paraId="68C3BAF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Responsibilities regarding exclusions is delegated to the Quality of Education and Community Committee consisting of at least 3 governors. </w:t>
      </w:r>
    </w:p>
    <w:p w14:paraId="37E92B57"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This committee has a duty to consider the reinstatement of an excluded pupil (see section 6).</w:t>
      </w:r>
    </w:p>
    <w:p w14:paraId="073081A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governing board has a duty to consider the reinstatement of an excluded pupil (see section 6)</w:t>
      </w:r>
    </w:p>
    <w:p w14:paraId="6AE9828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Within 14 days of receipt of a request, the governing board will provide the secretary of state and Cheshire West and Chester information about any exclusions in the last 12 months.</w:t>
      </w:r>
    </w:p>
    <w:p w14:paraId="1B409596"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For a fixed-period exclusion of more than 5 school days, the governing board will arrange suitable full-time education for the pupil. This provision will begin no later than the sixth day of the exclusion. </w:t>
      </w:r>
    </w:p>
    <w:p w14:paraId="17B765C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5.3 The LA</w:t>
      </w:r>
    </w:p>
    <w:p w14:paraId="71C72A7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For permanent exclusions, the LA is responsible for arranging suitable full-time education to begin no later than the sixth day of the exclusion.</w:t>
      </w:r>
    </w:p>
    <w:p w14:paraId="00B4645C" w14:textId="77777777" w:rsidR="003B00E7" w:rsidRDefault="003B00E7" w:rsidP="003B00E7">
      <w:pPr>
        <w:shd w:val="clear" w:color="auto" w:fill="FFFFFF"/>
        <w:spacing w:before="240" w:after="240"/>
        <w:ind w:left="1" w:hanging="3"/>
        <w:rPr>
          <w:rFonts w:ascii="Trebuchet MS" w:eastAsia="Trebuchet MS" w:hAnsi="Trebuchet MS" w:cs="Trebuchet MS"/>
        </w:rPr>
      </w:pPr>
      <w:r>
        <w:rPr>
          <w:rFonts w:ascii="Trebuchet MS" w:eastAsia="Trebuchet MS" w:hAnsi="Trebuchet MS" w:cs="Trebuchet MS"/>
          <w:b/>
          <w:sz w:val="28"/>
          <w:szCs w:val="28"/>
        </w:rPr>
        <w:t>6. Considering the reinstatement of a pupil</w:t>
      </w:r>
      <w:r>
        <w:rPr>
          <w:rFonts w:ascii="Trebuchet MS" w:eastAsia="Trebuchet MS" w:hAnsi="Trebuchet MS" w:cs="Trebuchet MS"/>
        </w:rPr>
        <w:t xml:space="preserve"> </w:t>
      </w:r>
    </w:p>
    <w:p w14:paraId="237AC42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The Quality of Education and Community Committee will consider the reinstatement of an excluded pupil within 15 school days of receiving the notice of the exclusion if: </w:t>
      </w:r>
    </w:p>
    <w:p w14:paraId="37C42F37"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exclusion is permanent</w:t>
      </w:r>
    </w:p>
    <w:p w14:paraId="7C54198C"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It is a fixed-term exclusion which would bring the pupil's total number of school days of exclusion to more than 15 in a term</w:t>
      </w:r>
    </w:p>
    <w:p w14:paraId="4164F9CF"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It would result in a pupil missing a public examination </w:t>
      </w:r>
    </w:p>
    <w:p w14:paraId="59D04E0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If requested to do so by parents, the Quality of Education and Community Committee will consider the reinstatement of an excluded pupil within 50 school </w:t>
      </w:r>
      <w:r>
        <w:rPr>
          <w:rFonts w:ascii="Trebuchet MS" w:eastAsia="Trebuchet MS" w:hAnsi="Trebuchet MS" w:cs="Trebuchet MS"/>
        </w:rPr>
        <w:lastRenderedPageBreak/>
        <w:t xml:space="preserve">days of receiving notice of the exclusion if the pupil would be excluded from school for more than 5 school days, but less than 15, in a single term. </w:t>
      </w:r>
    </w:p>
    <w:p w14:paraId="274EDFA7"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Where an exclusion would result in a pupil missing a public examination, the </w:t>
      </w:r>
      <w:proofErr w:type="spellStart"/>
      <w:r>
        <w:rPr>
          <w:rFonts w:ascii="Trebuchet MS" w:eastAsia="Trebuchet MS" w:hAnsi="Trebuchet MS" w:cs="Trebuchet MS"/>
        </w:rPr>
        <w:t>QUality</w:t>
      </w:r>
      <w:proofErr w:type="spellEnd"/>
      <w:r>
        <w:rPr>
          <w:rFonts w:ascii="Trebuchet MS" w:eastAsia="Trebuchet MS" w:hAnsi="Trebuchet MS" w:cs="Trebuchet MS"/>
        </w:rPr>
        <w:t xml:space="preserve"> of Education and Community Committee will consider the reinstatement of the pupil before the date of the examination. If this is not practicable, the chair of the governing board (or the vice-chair where the chair is unable to make this consideration) will consider the exclusion independently and decide whether or not to reinstate the pupil. </w:t>
      </w:r>
    </w:p>
    <w:p w14:paraId="17E6D37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Quality of Education and Community Committee can either:</w:t>
      </w:r>
    </w:p>
    <w:p w14:paraId="0D4B9F94"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Decline to reinstate the pupil, or</w:t>
      </w:r>
    </w:p>
    <w:p w14:paraId="2935A35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Direct the reinstatement of the pupil immediately, or on a particular date</w:t>
      </w:r>
    </w:p>
    <w:p w14:paraId="09C831C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In reaching a </w:t>
      </w:r>
      <w:proofErr w:type="spellStart"/>
      <w:proofErr w:type="gramStart"/>
      <w:r>
        <w:rPr>
          <w:rFonts w:ascii="Trebuchet MS" w:eastAsia="Trebuchet MS" w:hAnsi="Trebuchet MS" w:cs="Trebuchet MS"/>
        </w:rPr>
        <w:t>decision,the</w:t>
      </w:r>
      <w:proofErr w:type="spellEnd"/>
      <w:proofErr w:type="gramEnd"/>
      <w:r>
        <w:rPr>
          <w:rFonts w:ascii="Trebuchet MS" w:eastAsia="Trebuchet MS" w:hAnsi="Trebuchet MS" w:cs="Trebuchet MS"/>
        </w:rPr>
        <w:t xml:space="preserve"> Committee will consider whether the exclusion was lawful, reasonable and procedurally fair and whether the headteacher followed their legal duties. They will decide whether or not a fact is true ‘on the balance of probabilities’, which differs from the criminal standard of ‘beyond reasonable doubt’, as well as any evidence that was presented in relation to the decision to exclude.</w:t>
      </w:r>
    </w:p>
    <w:p w14:paraId="602950D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Minutes will be taken of the meeting, and a record of evidence considered kept. The outcome will also be recorded on the pupil’s educational record. </w:t>
      </w:r>
    </w:p>
    <w:p w14:paraId="2C101E6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The Committee will notify, in writing, the headteacher, parents and the LA of its decision, along with reasons for its decision, without delay. </w:t>
      </w:r>
    </w:p>
    <w:p w14:paraId="016A3EE4"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Where an exclusion is permanent, The Committee decision will also include the following:</w:t>
      </w:r>
    </w:p>
    <w:p w14:paraId="63FB6786"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fact that it is permanent</w:t>
      </w:r>
    </w:p>
    <w:p w14:paraId="3EBF707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Notice of parents’ right to ask for the decision to be reviewed by an independent review panel, and:</w:t>
      </w:r>
    </w:p>
    <w:p w14:paraId="5149B8E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 xml:space="preserve">The date by which an application for an independent review must be made </w:t>
      </w:r>
    </w:p>
    <w:p w14:paraId="1446660F"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The name and address to whom an application for a review should be submitted</w:t>
      </w:r>
    </w:p>
    <w:p w14:paraId="6BC60A8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That any application should set out the grounds on which it is being made and that, where appropriate, reference to how the pupil’s SEN are considered to be relevant to the exclusion</w:t>
      </w:r>
    </w:p>
    <w:p w14:paraId="278E453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 xml:space="preserve">That, regardless of whether the excluded pupil has </w:t>
      </w:r>
      <w:proofErr w:type="spellStart"/>
      <w:r>
        <w:rPr>
          <w:rFonts w:ascii="Trebuchet MS" w:eastAsia="Trebuchet MS" w:hAnsi="Trebuchet MS" w:cs="Trebuchet MS"/>
        </w:rPr>
        <w:t>recognised</w:t>
      </w:r>
      <w:proofErr w:type="spellEnd"/>
      <w:r>
        <w:rPr>
          <w:rFonts w:ascii="Trebuchet MS" w:eastAsia="Trebuchet MS" w:hAnsi="Trebuchet MS" w:cs="Trebuchet MS"/>
        </w:rPr>
        <w:t xml:space="preserve"> SEN, parents have a right to require the local authority Cheshire West and Chester to appoint an SEN expert to attend the review</w:t>
      </w:r>
    </w:p>
    <w:p w14:paraId="1802321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Details of the role of the SEN expert and that there would be no cost to parents for this appointment</w:t>
      </w:r>
    </w:p>
    <w:p w14:paraId="274941E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lastRenderedPageBreak/>
        <w:t>•</w:t>
      </w:r>
      <w:r>
        <w:rPr>
          <w:rFonts w:ascii="Trebuchet MS" w:eastAsia="Trebuchet MS" w:hAnsi="Trebuchet MS" w:cs="Trebuchet MS"/>
        </w:rPr>
        <w:tab/>
        <w:t>That parents must make clear if they wish for an SEN expert to be appointed in any application for a review</w:t>
      </w:r>
    </w:p>
    <w:p w14:paraId="4072EE3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That parents may, at their own expense, appoint someone to make written and/or oral representations to the panel, and parents may also bring a friend to the review.</w:t>
      </w:r>
    </w:p>
    <w:p w14:paraId="1428F0D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That if parents believe that the exclusion has occurred as a result of discrimination, they may make a claim under the Equality Act 2010 to the first-tier tribunal (special educational needs and disability), in the case of disability discrimination, or the county court, in the case of other forms of discrimination. A claim of discrimination made under these routes should be lodged within 6 months of the date on which the discrimination is alleged to have taken place.</w:t>
      </w:r>
    </w:p>
    <w:p w14:paraId="01AC71E7" w14:textId="77777777" w:rsidR="003B00E7" w:rsidRDefault="003B00E7" w:rsidP="003B00E7">
      <w:pPr>
        <w:shd w:val="clear" w:color="auto" w:fill="FFFFFF"/>
        <w:spacing w:before="240" w:after="240"/>
        <w:ind w:left="1" w:hanging="3"/>
        <w:rPr>
          <w:rFonts w:ascii="Trebuchet MS" w:eastAsia="Trebuchet MS" w:hAnsi="Trebuchet MS" w:cs="Trebuchet MS"/>
        </w:rPr>
      </w:pPr>
      <w:r>
        <w:rPr>
          <w:rFonts w:ascii="Trebuchet MS" w:eastAsia="Trebuchet MS" w:hAnsi="Trebuchet MS" w:cs="Trebuchet MS"/>
          <w:b/>
          <w:sz w:val="28"/>
          <w:szCs w:val="28"/>
        </w:rPr>
        <w:t>7. An independent review</w:t>
      </w:r>
      <w:r>
        <w:rPr>
          <w:rFonts w:ascii="Trebuchet MS" w:eastAsia="Trebuchet MS" w:hAnsi="Trebuchet MS" w:cs="Trebuchet MS"/>
        </w:rPr>
        <w:t xml:space="preserve"> </w:t>
      </w:r>
    </w:p>
    <w:p w14:paraId="4F9A5FD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If parents apply for an independent review, the local authority will arrange for an independent panel to review the decision of the governing board not to reinstate a permanently excluded pupil. </w:t>
      </w:r>
    </w:p>
    <w:p w14:paraId="705AB7E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Applications for an independent review must be made within 15 school days of notice being given to the parents by The Quality of Education and </w:t>
      </w:r>
      <w:proofErr w:type="gramStart"/>
      <w:r>
        <w:rPr>
          <w:rFonts w:ascii="Trebuchet MS" w:eastAsia="Trebuchet MS" w:hAnsi="Trebuchet MS" w:cs="Trebuchet MS"/>
        </w:rPr>
        <w:t>Community  Committee</w:t>
      </w:r>
      <w:proofErr w:type="gramEnd"/>
      <w:r>
        <w:rPr>
          <w:rFonts w:ascii="Trebuchet MS" w:eastAsia="Trebuchet MS" w:hAnsi="Trebuchet MS" w:cs="Trebuchet MS"/>
        </w:rPr>
        <w:t xml:space="preserve"> of its decision to not reinstate a pupil.</w:t>
      </w:r>
    </w:p>
    <w:p w14:paraId="634E2E1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A panel of 3 or 5 members will be constituted with representatives from each of the categories below. Where a 5-member panel is constituted, 2 members will come from the school </w:t>
      </w:r>
      <w:proofErr w:type="gramStart"/>
      <w:r>
        <w:rPr>
          <w:rFonts w:ascii="Trebuchet MS" w:eastAsia="Trebuchet MS" w:hAnsi="Trebuchet MS" w:cs="Trebuchet MS"/>
        </w:rPr>
        <w:t>governors</w:t>
      </w:r>
      <w:proofErr w:type="gramEnd"/>
      <w:r>
        <w:rPr>
          <w:rFonts w:ascii="Trebuchet MS" w:eastAsia="Trebuchet MS" w:hAnsi="Trebuchet MS" w:cs="Trebuchet MS"/>
        </w:rPr>
        <w:t xml:space="preserve"> category and 2 members will come from the headteacher category. </w:t>
      </w:r>
    </w:p>
    <w:p w14:paraId="494B67CC"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 lay member to chair the panel who has not worked in any school in a paid capacity, disregarding any experience as a school governor or volunteer</w:t>
      </w:r>
    </w:p>
    <w:p w14:paraId="6CD9DA7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School governors who have served as a governor for at least 12 consecutive months in the last 5 years, provided they have not been teachers or headteachers during this time</w:t>
      </w:r>
    </w:p>
    <w:p w14:paraId="7C9F13DE"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Headteachers or individuals who have been a headteacher within the last 5 years</w:t>
      </w:r>
    </w:p>
    <w:p w14:paraId="7DCA299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A person may not serve as a member of a review panel if they:</w:t>
      </w:r>
    </w:p>
    <w:p w14:paraId="4FAADFD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Are a member of the local authority or governing board of the excluding school</w:t>
      </w:r>
    </w:p>
    <w:p w14:paraId="6959644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Are the headteacher of the excluding school, or have held this position in the last 5 years</w:t>
      </w:r>
    </w:p>
    <w:p w14:paraId="25684A8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Are an employee of the local authority or the governing board, of the excluding school (unless they are employed as a headteacher at another school)</w:t>
      </w:r>
    </w:p>
    <w:p w14:paraId="2D004EB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lastRenderedPageBreak/>
        <w:t xml:space="preserve"> </w:t>
      </w:r>
      <w:r>
        <w:rPr>
          <w:rFonts w:ascii="Trebuchet MS" w:eastAsia="Trebuchet MS" w:hAnsi="Trebuchet MS" w:cs="Trebuchet MS"/>
        </w:rPr>
        <w:tab/>
        <w:t>Have, or at any time have had, any connection with the local authority, school, governing board, parents or pupil, or the incident leading to the exclusion, which might reasonably be taken to raise doubts about their impartially</w:t>
      </w:r>
    </w:p>
    <w:p w14:paraId="7FD7F633"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Have not had the required training within the last 2 years (see appendix 1 for what training must cover)</w:t>
      </w:r>
    </w:p>
    <w:p w14:paraId="1B0D062E"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A clerk will be appointed to the panel. </w:t>
      </w:r>
    </w:p>
    <w:p w14:paraId="5DB2CBB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independent panel will decide one of the following:</w:t>
      </w:r>
    </w:p>
    <w:p w14:paraId="2F3EA78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Uphold the governing board’s decision</w:t>
      </w:r>
    </w:p>
    <w:p w14:paraId="11AE3479"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Recommend that the governing board reconsiders reinstatement</w:t>
      </w:r>
    </w:p>
    <w:p w14:paraId="631FC98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Quash the governing board’s decision and direct that they reconsider reinstatement (only when the decision is judged to be flawed)</w:t>
      </w:r>
    </w:p>
    <w:p w14:paraId="5583AD3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The panel’s decision can be decided by a majority vote. In the case of a tied decision, the chair has the casting vote. </w:t>
      </w:r>
    </w:p>
    <w:p w14:paraId="37980685"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8. School registers</w:t>
      </w:r>
    </w:p>
    <w:p w14:paraId="5E3EEE5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A pupil's name will be removed from the school admissions register if: </w:t>
      </w:r>
    </w:p>
    <w:p w14:paraId="2F4B3BA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15 school days have passed since the parents were notified of the exclusion panel’s decision to not reinstate the pupil and no application has been made for an independent review panel, or</w:t>
      </w:r>
    </w:p>
    <w:p w14:paraId="743C55A6"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parents have stated in writing that they will not be applying for an independent review panel</w:t>
      </w:r>
    </w:p>
    <w:p w14:paraId="49AEB54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Where an application for an independent review has been made, the governing board will wait until that review has concluded before removing a pupil’s name from the register.</w:t>
      </w:r>
    </w:p>
    <w:p w14:paraId="4E6DDEFA"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Where alternative provision has been made for an excluded pupil and they attend it, code B (education off-site) or code D (dual registration) will be used on the attendance register. </w:t>
      </w:r>
    </w:p>
    <w:p w14:paraId="681009C4"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Where excluded pupils are not attending alternative provision, code E (absent) will be used. </w:t>
      </w:r>
    </w:p>
    <w:p w14:paraId="4A538217"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9. Returning from a fixed-term exclusion</w:t>
      </w:r>
    </w:p>
    <w:p w14:paraId="00B276B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Following a fixed-term exclusion, a re-integration meeting will be held involving the pupil, parents, a member of senior staff and other staff, where appropriate. </w:t>
      </w:r>
    </w:p>
    <w:p w14:paraId="597FF89B"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The following measures may be implemented when a pupil returns from a fixed-term exclusion:</w:t>
      </w:r>
    </w:p>
    <w:p w14:paraId="1D7134C5"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Agreeing a behaviour contract</w:t>
      </w:r>
    </w:p>
    <w:p w14:paraId="1B021C12"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lastRenderedPageBreak/>
        <w:t xml:space="preserve"> </w:t>
      </w:r>
      <w:r>
        <w:rPr>
          <w:rFonts w:ascii="Trebuchet MS" w:eastAsia="Trebuchet MS" w:hAnsi="Trebuchet MS" w:cs="Trebuchet MS"/>
        </w:rPr>
        <w:tab/>
        <w:t>Additional support plan that may limit the time a child has to spend with their peers so that their ability to behave in a safe way is established.</w:t>
      </w:r>
    </w:p>
    <w:p w14:paraId="3AFBA25A"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10. Monitoring arrangements</w:t>
      </w:r>
    </w:p>
    <w:p w14:paraId="629018EE"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The Deputy Headteacher monitors the number of exclusions every term and reports back to the Headteacher and Governors. The Headteacher liaises with the local authority to ensure suitable full-time education for excluded pupils. </w:t>
      </w:r>
    </w:p>
    <w:p w14:paraId="4D19522E"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This policy will be reviewed by the Full Governing Board every year. At every review, the policy will be shared with the governing board. </w:t>
      </w:r>
    </w:p>
    <w:p w14:paraId="5F7281E1" w14:textId="77777777" w:rsidR="003B00E7" w:rsidRDefault="003B00E7" w:rsidP="003B00E7">
      <w:pPr>
        <w:shd w:val="clear" w:color="auto" w:fill="FFFFFF"/>
        <w:spacing w:before="240" w:after="240"/>
        <w:ind w:left="1" w:hanging="3"/>
        <w:rPr>
          <w:rFonts w:ascii="Trebuchet MS" w:eastAsia="Trebuchet MS" w:hAnsi="Trebuchet MS" w:cs="Trebuchet MS"/>
          <w:b/>
          <w:sz w:val="28"/>
          <w:szCs w:val="28"/>
        </w:rPr>
      </w:pPr>
      <w:r>
        <w:rPr>
          <w:rFonts w:ascii="Trebuchet MS" w:eastAsia="Trebuchet MS" w:hAnsi="Trebuchet MS" w:cs="Trebuchet MS"/>
          <w:b/>
          <w:sz w:val="28"/>
          <w:szCs w:val="28"/>
        </w:rPr>
        <w:t>11. Links with other policies</w:t>
      </w:r>
    </w:p>
    <w:p w14:paraId="46ED866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This exclusions policy is linked to </w:t>
      </w:r>
      <w:proofErr w:type="gramStart"/>
      <w:r>
        <w:rPr>
          <w:rFonts w:ascii="Trebuchet MS" w:eastAsia="Trebuchet MS" w:hAnsi="Trebuchet MS" w:cs="Trebuchet MS"/>
        </w:rPr>
        <w:t>our</w:t>
      </w:r>
      <w:proofErr w:type="gramEnd"/>
    </w:p>
    <w:p w14:paraId="214A0C50"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 xml:space="preserve">Behaviour and Relationship policy </w:t>
      </w:r>
    </w:p>
    <w:p w14:paraId="30C72C4F"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rPr>
        <w:tab/>
        <w:t xml:space="preserve">SEN policy and information report </w:t>
      </w:r>
    </w:p>
    <w:p w14:paraId="63FBA4F8" w14:textId="77777777" w:rsidR="003B00E7" w:rsidRDefault="003B00E7" w:rsidP="003B00E7">
      <w:pPr>
        <w:shd w:val="clear" w:color="auto" w:fill="FFFFFF"/>
        <w:spacing w:before="240" w:after="240"/>
        <w:ind w:hanging="2"/>
        <w:rPr>
          <w:rFonts w:ascii="Trebuchet MS" w:eastAsia="Trebuchet MS" w:hAnsi="Trebuchet MS" w:cs="Trebuchet MS"/>
        </w:rPr>
      </w:pPr>
    </w:p>
    <w:p w14:paraId="47F4A8DE"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Appendix 1: Independent review panel training</w:t>
      </w:r>
    </w:p>
    <w:p w14:paraId="0FFF2046"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The local authority must ensure that all members of an independent review panel and clerks have received training within the 2 years prior to the date of the review. </w:t>
      </w:r>
    </w:p>
    <w:p w14:paraId="4985C5D1"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Training must have covered:</w:t>
      </w:r>
    </w:p>
    <w:p w14:paraId="2C02B918"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requirements of the primary legislation, regulations and statutory guidance governing exclusions, which would include an understanding of how the principles applicable in an application for judicial review relate to the panel’s decision making</w:t>
      </w:r>
    </w:p>
    <w:p w14:paraId="7F83A335"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need for the panel to observe procedural fairness and the rules of natural justice</w:t>
      </w:r>
    </w:p>
    <w:p w14:paraId="7819321E"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role of the chair and the clerk of a review panel</w:t>
      </w:r>
    </w:p>
    <w:p w14:paraId="79A4B17D"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duties of headteachers, governing boards and the panel under the Equality Act 2010</w:t>
      </w:r>
    </w:p>
    <w:p w14:paraId="3E3A0DB5" w14:textId="77777777" w:rsidR="003B00E7" w:rsidRDefault="003B00E7" w:rsidP="003B00E7">
      <w:pPr>
        <w:shd w:val="clear" w:color="auto" w:fill="FFFFFF"/>
        <w:spacing w:before="240" w:after="240"/>
        <w:ind w:hanging="2"/>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tab/>
        <w:t>The effect of section 6 of the Human Rights Act 1998 (acts of public authorities unlawful if not compatible with certain human rights) and the need to act in a manner compatible with human rights protected by that Act.</w:t>
      </w:r>
    </w:p>
    <w:p w14:paraId="4630C296" w14:textId="77777777" w:rsidR="003B00E7" w:rsidRPr="002A2B1C" w:rsidRDefault="003B00E7" w:rsidP="002A2B1C">
      <w:pPr>
        <w:spacing w:line="360" w:lineRule="auto"/>
        <w:jc w:val="both"/>
        <w:rPr>
          <w:rFonts w:ascii="Comic Sans MS" w:hAnsi="Comic Sans MS"/>
          <w:i/>
          <w:iCs/>
        </w:rPr>
      </w:pPr>
    </w:p>
    <w:sectPr w:rsidR="003B00E7" w:rsidRPr="002A2B1C"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322F6"/>
    <w:multiLevelType w:val="hybridMultilevel"/>
    <w:tmpl w:val="E0F6E410"/>
    <w:styleLink w:val="ImportedStyle2"/>
    <w:lvl w:ilvl="0" w:tplc="FB8817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EB5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3604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466CA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D4B4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B65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24121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C4081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3040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F723B9B"/>
    <w:multiLevelType w:val="hybridMultilevel"/>
    <w:tmpl w:val="DC2C0D48"/>
    <w:styleLink w:val="ImportedStyle1"/>
    <w:lvl w:ilvl="0" w:tplc="CF1055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EA5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6A36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4AE0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24BD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08C7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2E1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6A9BC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9EAED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62182"/>
    <w:multiLevelType w:val="multilevel"/>
    <w:tmpl w:val="3CEC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90D27"/>
    <w:multiLevelType w:val="hybridMultilevel"/>
    <w:tmpl w:val="AF3AB86C"/>
    <w:numStyleLink w:val="ImportedStyle6"/>
  </w:abstractNum>
  <w:abstractNum w:abstractNumId="7" w15:restartNumberingAfterBreak="0">
    <w:nsid w:val="21FA1A03"/>
    <w:multiLevelType w:val="multilevel"/>
    <w:tmpl w:val="3C7E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72A17"/>
    <w:multiLevelType w:val="hybridMultilevel"/>
    <w:tmpl w:val="DC2C0D48"/>
    <w:numStyleLink w:val="ImportedStyle1"/>
  </w:abstractNum>
  <w:abstractNum w:abstractNumId="9" w15:restartNumberingAfterBreak="0">
    <w:nsid w:val="27CF5F9E"/>
    <w:multiLevelType w:val="multilevel"/>
    <w:tmpl w:val="01F4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F0C11"/>
    <w:multiLevelType w:val="hybridMultilevel"/>
    <w:tmpl w:val="2C10D858"/>
    <w:styleLink w:val="ImportedStyle4"/>
    <w:lvl w:ilvl="0" w:tplc="5894AE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9A724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C9A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E879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4867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8807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8C2C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AB1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6CB99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106F8C"/>
    <w:multiLevelType w:val="hybridMultilevel"/>
    <w:tmpl w:val="2F0C5996"/>
    <w:styleLink w:val="ImportedStyle7"/>
    <w:lvl w:ilvl="0" w:tplc="249263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8049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47F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7E213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BAE3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1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44E62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AE700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7EF0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4E2C3F62"/>
    <w:multiLevelType w:val="hybridMultilevel"/>
    <w:tmpl w:val="FA5C27DA"/>
    <w:numStyleLink w:val="ImportedStyle3"/>
  </w:abstractNum>
  <w:abstractNum w:abstractNumId="15"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EF1109"/>
    <w:multiLevelType w:val="hybridMultilevel"/>
    <w:tmpl w:val="582E5F0A"/>
    <w:styleLink w:val="ImportedStyle5"/>
    <w:lvl w:ilvl="0" w:tplc="5B9003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3CD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6E6C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F89BE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1AAF0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E369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F02AA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941B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5E15D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28C1218"/>
    <w:multiLevelType w:val="hybridMultilevel"/>
    <w:tmpl w:val="2F0C5996"/>
    <w:numStyleLink w:val="ImportedStyle7"/>
  </w:abstractNum>
  <w:abstractNum w:abstractNumId="18" w15:restartNumberingAfterBreak="0">
    <w:nsid w:val="54D70C97"/>
    <w:multiLevelType w:val="hybridMultilevel"/>
    <w:tmpl w:val="E0F6E410"/>
    <w:numStyleLink w:val="ImportedStyle2"/>
  </w:abstractNum>
  <w:abstractNum w:abstractNumId="19" w15:restartNumberingAfterBreak="0">
    <w:nsid w:val="54E2277B"/>
    <w:multiLevelType w:val="hybridMultilevel"/>
    <w:tmpl w:val="2C10D858"/>
    <w:numStyleLink w:val="ImportedStyle4"/>
  </w:abstractNum>
  <w:abstractNum w:abstractNumId="20" w15:restartNumberingAfterBreak="0">
    <w:nsid w:val="56ED1BCE"/>
    <w:multiLevelType w:val="multilevel"/>
    <w:tmpl w:val="D5D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D0BD8"/>
    <w:multiLevelType w:val="hybridMultilevel"/>
    <w:tmpl w:val="FA5C27DA"/>
    <w:styleLink w:val="ImportedStyle3"/>
    <w:lvl w:ilvl="0" w:tplc="4A5055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6E898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7EE4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A0D8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0E92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6872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C81EA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F4C5D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8E4F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B7339"/>
    <w:multiLevelType w:val="multilevel"/>
    <w:tmpl w:val="464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231BF8"/>
    <w:multiLevelType w:val="hybridMultilevel"/>
    <w:tmpl w:val="582E5F0A"/>
    <w:numStyleLink w:val="ImportedStyle5"/>
  </w:abstractNum>
  <w:abstractNum w:abstractNumId="25" w15:restartNumberingAfterBreak="0">
    <w:nsid w:val="761E21DD"/>
    <w:multiLevelType w:val="hybridMultilevel"/>
    <w:tmpl w:val="AF3AB86C"/>
    <w:styleLink w:val="ImportedStyle6"/>
    <w:lvl w:ilvl="0" w:tplc="86DAF7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EA615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6E1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F60AB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46E5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8069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0C97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E4571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A586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6765205"/>
    <w:multiLevelType w:val="multilevel"/>
    <w:tmpl w:val="922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5"/>
  </w:num>
  <w:num w:numId="2">
    <w:abstractNumId w:val="13"/>
  </w:num>
  <w:num w:numId="3">
    <w:abstractNumId w:val="27"/>
  </w:num>
  <w:num w:numId="4">
    <w:abstractNumId w:val="22"/>
  </w:num>
  <w:num w:numId="5">
    <w:abstractNumId w:val="11"/>
  </w:num>
  <w:num w:numId="6">
    <w:abstractNumId w:val="5"/>
  </w:num>
  <w:num w:numId="7">
    <w:abstractNumId w:val="3"/>
  </w:num>
  <w:num w:numId="8">
    <w:abstractNumId w:val="2"/>
  </w:num>
  <w:num w:numId="9">
    <w:abstractNumId w:val="1"/>
  </w:num>
  <w:num w:numId="10">
    <w:abstractNumId w:val="8"/>
  </w:num>
  <w:num w:numId="11">
    <w:abstractNumId w:val="0"/>
  </w:num>
  <w:num w:numId="12">
    <w:abstractNumId w:val="18"/>
  </w:num>
  <w:num w:numId="13">
    <w:abstractNumId w:val="21"/>
  </w:num>
  <w:num w:numId="14">
    <w:abstractNumId w:val="14"/>
  </w:num>
  <w:num w:numId="15">
    <w:abstractNumId w:val="10"/>
  </w:num>
  <w:num w:numId="16">
    <w:abstractNumId w:val="19"/>
  </w:num>
  <w:num w:numId="17">
    <w:abstractNumId w:val="16"/>
  </w:num>
  <w:num w:numId="18">
    <w:abstractNumId w:val="24"/>
  </w:num>
  <w:num w:numId="19">
    <w:abstractNumId w:val="25"/>
  </w:num>
  <w:num w:numId="20">
    <w:abstractNumId w:val="6"/>
  </w:num>
  <w:num w:numId="21">
    <w:abstractNumId w:val="12"/>
  </w:num>
  <w:num w:numId="22">
    <w:abstractNumId w:val="17"/>
  </w:num>
  <w:num w:numId="23">
    <w:abstractNumId w:val="20"/>
  </w:num>
  <w:num w:numId="24">
    <w:abstractNumId w:val="9"/>
  </w:num>
  <w:num w:numId="25">
    <w:abstractNumId w:val="7"/>
  </w:num>
  <w:num w:numId="26">
    <w:abstractNumId w:val="4"/>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04196"/>
    <w:rsid w:val="00113C96"/>
    <w:rsid w:val="00144FA1"/>
    <w:rsid w:val="00187877"/>
    <w:rsid w:val="001B6FC3"/>
    <w:rsid w:val="002530C9"/>
    <w:rsid w:val="0029349E"/>
    <w:rsid w:val="002A2B1C"/>
    <w:rsid w:val="002F51B0"/>
    <w:rsid w:val="002F6EDC"/>
    <w:rsid w:val="003723BD"/>
    <w:rsid w:val="0037460D"/>
    <w:rsid w:val="003B00E7"/>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A686B"/>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9E1C43"/>
    <w:rsid w:val="00A50EE1"/>
    <w:rsid w:val="00A513F9"/>
    <w:rsid w:val="00A67723"/>
    <w:rsid w:val="00A97486"/>
    <w:rsid w:val="00AB40EF"/>
    <w:rsid w:val="00AE3B36"/>
    <w:rsid w:val="00AE4AA3"/>
    <w:rsid w:val="00B043F8"/>
    <w:rsid w:val="00B30255"/>
    <w:rsid w:val="00B33585"/>
    <w:rsid w:val="00B64F75"/>
    <w:rsid w:val="00BB2CED"/>
    <w:rsid w:val="00BF39E8"/>
    <w:rsid w:val="00BF6681"/>
    <w:rsid w:val="00C01E23"/>
    <w:rsid w:val="00C2735B"/>
    <w:rsid w:val="00C54264"/>
    <w:rsid w:val="00C63661"/>
    <w:rsid w:val="00C8752D"/>
    <w:rsid w:val="00CC69F3"/>
    <w:rsid w:val="00CF019C"/>
    <w:rsid w:val="00D00188"/>
    <w:rsid w:val="00D0231F"/>
    <w:rsid w:val="00D14C9B"/>
    <w:rsid w:val="00D178BF"/>
    <w:rsid w:val="00D42300"/>
    <w:rsid w:val="00D53624"/>
    <w:rsid w:val="00D85A27"/>
    <w:rsid w:val="00DA079E"/>
    <w:rsid w:val="00E00D80"/>
    <w:rsid w:val="00E05EDC"/>
    <w:rsid w:val="00E074BB"/>
    <w:rsid w:val="00E24116"/>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paragraph" w:styleId="Heading2">
    <w:name w:val="heading 2"/>
    <w:basedOn w:val="Normal"/>
    <w:next w:val="Normal"/>
    <w:link w:val="Heading2Char"/>
    <w:semiHidden/>
    <w:unhideWhenUsed/>
    <w:qFormat/>
    <w:locked/>
    <w:rsid w:val="002A2B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locked/>
    <w:rsid w:val="002A2B1C"/>
    <w:pPr>
      <w:keepNext/>
      <w:pBdr>
        <w:top w:val="nil"/>
        <w:left w:val="nil"/>
        <w:bottom w:val="nil"/>
        <w:right w:val="nil"/>
        <w:between w:val="nil"/>
        <w:bar w:val="nil"/>
      </w:pBdr>
      <w:spacing w:after="120"/>
      <w:outlineLvl w:val="2"/>
    </w:pPr>
    <w:rPr>
      <w:rFonts w:ascii="Arial" w:eastAsia="Arial Unicode MS" w:hAnsi="Arial" w:cs="Arial Unicode MS"/>
      <w:b/>
      <w:bCs/>
      <w:color w:val="000000"/>
      <w:sz w:val="24"/>
      <w:szCs w:val="24"/>
      <w:u w:color="000000"/>
      <w:bdr w:val="nil"/>
      <w:lang w:val="en-US"/>
    </w:rPr>
  </w:style>
  <w:style w:type="paragraph" w:styleId="Heading4">
    <w:name w:val="heading 4"/>
    <w:next w:val="Normal"/>
    <w:link w:val="Heading4Char"/>
    <w:locked/>
    <w:rsid w:val="002A2B1C"/>
    <w:pPr>
      <w:keepNext/>
      <w:pBdr>
        <w:top w:val="nil"/>
        <w:left w:val="nil"/>
        <w:bottom w:val="nil"/>
        <w:right w:val="nil"/>
        <w:between w:val="nil"/>
        <w:bar w:val="nil"/>
      </w:pBdr>
      <w:spacing w:before="240" w:after="60"/>
      <w:outlineLvl w:val="3"/>
    </w:pPr>
    <w:rPr>
      <w:rFonts w:ascii="Times" w:eastAsia="Arial Unicode MS" w:hAnsi="Times" w:cs="Arial Unicode MS"/>
      <w:b/>
      <w:bCs/>
      <w:color w:val="000000"/>
      <w:sz w:val="28"/>
      <w:szCs w:val="28"/>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 w:type="character" w:customStyle="1" w:styleId="Heading3Char">
    <w:name w:val="Heading 3 Char"/>
    <w:basedOn w:val="DefaultParagraphFont"/>
    <w:link w:val="Heading3"/>
    <w:rsid w:val="002A2B1C"/>
    <w:rPr>
      <w:rFonts w:ascii="Arial" w:eastAsia="Arial Unicode MS" w:hAnsi="Arial" w:cs="Arial Unicode MS"/>
      <w:b/>
      <w:bCs/>
      <w:color w:val="000000"/>
      <w:sz w:val="24"/>
      <w:szCs w:val="24"/>
      <w:u w:color="000000"/>
      <w:bdr w:val="nil"/>
      <w:lang w:val="en-US"/>
    </w:rPr>
  </w:style>
  <w:style w:type="character" w:customStyle="1" w:styleId="Heading4Char">
    <w:name w:val="Heading 4 Char"/>
    <w:basedOn w:val="DefaultParagraphFont"/>
    <w:link w:val="Heading4"/>
    <w:rsid w:val="002A2B1C"/>
    <w:rPr>
      <w:rFonts w:ascii="Times" w:eastAsia="Arial Unicode MS" w:hAnsi="Times" w:cs="Arial Unicode MS"/>
      <w:b/>
      <w:bCs/>
      <w:color w:val="000000"/>
      <w:sz w:val="28"/>
      <w:szCs w:val="28"/>
      <w:u w:color="000000"/>
      <w:bdr w:val="nil"/>
      <w:lang w:val="en-US"/>
    </w:rPr>
  </w:style>
  <w:style w:type="paragraph" w:customStyle="1" w:styleId="bullets">
    <w:name w:val="bullets"/>
    <w:rsid w:val="002A2B1C"/>
    <w:pPr>
      <w:pBdr>
        <w:top w:val="nil"/>
        <w:left w:val="nil"/>
        <w:bottom w:val="nil"/>
        <w:right w:val="nil"/>
        <w:between w:val="nil"/>
        <w:bar w:val="nil"/>
      </w:pBdr>
      <w:spacing w:after="120"/>
      <w:ind w:left="720" w:hanging="720"/>
    </w:pPr>
    <w:rPr>
      <w:rFonts w:ascii="Times New Roman" w:eastAsia="Arial Unicode MS" w:hAnsi="Times New Roman" w:cs="Arial Unicode MS"/>
      <w:color w:val="000000"/>
      <w:sz w:val="24"/>
      <w:szCs w:val="24"/>
      <w:u w:color="000000"/>
      <w:bdr w:val="nil"/>
      <w:lang w:val="en-US"/>
    </w:rPr>
  </w:style>
  <w:style w:type="numbering" w:customStyle="1" w:styleId="ImportedStyle1">
    <w:name w:val="Imported Style 1"/>
    <w:rsid w:val="002A2B1C"/>
    <w:pPr>
      <w:numPr>
        <w:numId w:val="9"/>
      </w:numPr>
    </w:pPr>
  </w:style>
  <w:style w:type="numbering" w:customStyle="1" w:styleId="ImportedStyle2">
    <w:name w:val="Imported Style 2"/>
    <w:rsid w:val="002A2B1C"/>
    <w:pPr>
      <w:numPr>
        <w:numId w:val="11"/>
      </w:numPr>
    </w:pPr>
  </w:style>
  <w:style w:type="numbering" w:customStyle="1" w:styleId="ImportedStyle3">
    <w:name w:val="Imported Style 3"/>
    <w:rsid w:val="002A2B1C"/>
    <w:pPr>
      <w:numPr>
        <w:numId w:val="13"/>
      </w:numPr>
    </w:pPr>
  </w:style>
  <w:style w:type="numbering" w:customStyle="1" w:styleId="ImportedStyle4">
    <w:name w:val="Imported Style 4"/>
    <w:rsid w:val="002A2B1C"/>
    <w:pPr>
      <w:numPr>
        <w:numId w:val="15"/>
      </w:numPr>
    </w:pPr>
  </w:style>
  <w:style w:type="numbering" w:customStyle="1" w:styleId="ImportedStyle5">
    <w:name w:val="Imported Style 5"/>
    <w:rsid w:val="002A2B1C"/>
    <w:pPr>
      <w:numPr>
        <w:numId w:val="17"/>
      </w:numPr>
    </w:pPr>
  </w:style>
  <w:style w:type="numbering" w:customStyle="1" w:styleId="ImportedStyle6">
    <w:name w:val="Imported Style 6"/>
    <w:rsid w:val="002A2B1C"/>
    <w:pPr>
      <w:numPr>
        <w:numId w:val="19"/>
      </w:numPr>
    </w:pPr>
  </w:style>
  <w:style w:type="numbering" w:customStyle="1" w:styleId="ImportedStyle7">
    <w:name w:val="Imported Style 7"/>
    <w:rsid w:val="002A2B1C"/>
    <w:pPr>
      <w:numPr>
        <w:numId w:val="21"/>
      </w:numPr>
    </w:pPr>
  </w:style>
  <w:style w:type="character" w:styleId="Strong">
    <w:name w:val="Strong"/>
    <w:basedOn w:val="DefaultParagraphFont"/>
    <w:uiPriority w:val="22"/>
    <w:qFormat/>
    <w:locked/>
    <w:rsid w:val="002A2B1C"/>
    <w:rPr>
      <w:b/>
      <w:bCs/>
    </w:rPr>
  </w:style>
  <w:style w:type="character" w:customStyle="1" w:styleId="Heading2Char">
    <w:name w:val="Heading 2 Char"/>
    <w:basedOn w:val="DefaultParagraphFont"/>
    <w:link w:val="Heading2"/>
    <w:semiHidden/>
    <w:rsid w:val="002A2B1C"/>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348336209">
      <w:bodyDiv w:val="1"/>
      <w:marLeft w:val="0"/>
      <w:marRight w:val="0"/>
      <w:marTop w:val="0"/>
      <w:marBottom w:val="0"/>
      <w:divBdr>
        <w:top w:val="none" w:sz="0" w:space="0" w:color="auto"/>
        <w:left w:val="none" w:sz="0" w:space="0" w:color="auto"/>
        <w:bottom w:val="none" w:sz="0" w:space="0" w:color="auto"/>
        <w:right w:val="none" w:sz="0" w:space="0" w:color="auto"/>
      </w:divBdr>
    </w:div>
    <w:div w:id="751849510">
      <w:bodyDiv w:val="1"/>
      <w:marLeft w:val="0"/>
      <w:marRight w:val="0"/>
      <w:marTop w:val="0"/>
      <w:marBottom w:val="0"/>
      <w:divBdr>
        <w:top w:val="none" w:sz="0" w:space="0" w:color="auto"/>
        <w:left w:val="none" w:sz="0" w:space="0" w:color="auto"/>
        <w:bottom w:val="none" w:sz="0" w:space="0" w:color="auto"/>
        <w:right w:val="none" w:sz="0" w:space="0" w:color="auto"/>
      </w:divBdr>
    </w:div>
    <w:div w:id="885144330">
      <w:bodyDiv w:val="1"/>
      <w:marLeft w:val="0"/>
      <w:marRight w:val="0"/>
      <w:marTop w:val="0"/>
      <w:marBottom w:val="0"/>
      <w:divBdr>
        <w:top w:val="none" w:sz="0" w:space="0" w:color="auto"/>
        <w:left w:val="none" w:sz="0" w:space="0" w:color="auto"/>
        <w:bottom w:val="none" w:sz="0" w:space="0" w:color="auto"/>
        <w:right w:val="none" w:sz="0" w:space="0" w:color="auto"/>
      </w:divBdr>
    </w:div>
    <w:div w:id="1333265967">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5012">
      <w:bodyDiv w:val="1"/>
      <w:marLeft w:val="0"/>
      <w:marRight w:val="0"/>
      <w:marTop w:val="0"/>
      <w:marBottom w:val="0"/>
      <w:divBdr>
        <w:top w:val="none" w:sz="0" w:space="0" w:color="auto"/>
        <w:left w:val="none" w:sz="0" w:space="0" w:color="auto"/>
        <w:bottom w:val="none" w:sz="0" w:space="0" w:color="auto"/>
        <w:right w:val="none" w:sz="0" w:space="0" w:color="auto"/>
      </w:divBdr>
    </w:div>
    <w:div w:id="2052533045">
      <w:bodyDiv w:val="1"/>
      <w:marLeft w:val="0"/>
      <w:marRight w:val="0"/>
      <w:marTop w:val="0"/>
      <w:marBottom w:val="0"/>
      <w:divBdr>
        <w:top w:val="none" w:sz="0" w:space="0" w:color="auto"/>
        <w:left w:val="none" w:sz="0" w:space="0" w:color="auto"/>
        <w:bottom w:val="none" w:sz="0" w:space="0" w:color="auto"/>
        <w:right w:val="none" w:sz="0" w:space="0" w:color="auto"/>
      </w:divBdr>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2025-11-17T11:56:00Z</dcterms:created>
  <dcterms:modified xsi:type="dcterms:W3CDTF">2025-11-17T11:56:00Z</dcterms:modified>
</cp:coreProperties>
</file>