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E4AD36" w14:textId="77777777" w:rsidR="00751EAB" w:rsidRDefault="005A5C62">
      <w:pPr>
        <w:ind w:left="4320" w:firstLine="720"/>
        <w:rPr>
          <w:b/>
          <w:sz w:val="28"/>
          <w:szCs w:val="28"/>
        </w:rPr>
      </w:pPr>
      <w:r>
        <w:rPr>
          <w:noProof/>
          <w:lang w:eastAsia="en-GB"/>
        </w:rPr>
        <w:drawing>
          <wp:anchor distT="0" distB="0" distL="114300" distR="123190" simplePos="0" relativeHeight="2" behindDoc="0" locked="0" layoutInCell="1" allowOverlap="1" wp14:anchorId="56827C74" wp14:editId="66ED497A">
            <wp:simplePos x="0" y="0"/>
            <wp:positionH relativeFrom="column">
              <wp:posOffset>-247650</wp:posOffset>
            </wp:positionH>
            <wp:positionV relativeFrom="paragraph">
              <wp:posOffset>-638175</wp:posOffset>
            </wp:positionV>
            <wp:extent cx="714375" cy="918210"/>
            <wp:effectExtent l="0" t="0" r="0" b="0"/>
            <wp:wrapTight wrapText="bothSides">
              <wp:wrapPolygon edited="0">
                <wp:start x="-133" y="0"/>
                <wp:lineTo x="-133" y="20937"/>
                <wp:lineTo x="21302" y="20937"/>
                <wp:lineTo x="21302" y="0"/>
                <wp:lineTo x="-133" y="0"/>
              </wp:wrapPolygon>
            </wp:wrapTight>
            <wp:docPr id="1" name="Picture 1" descr="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_small"/>
                    <pic:cNvPicPr>
                      <a:picLocks noChangeAspect="1" noChangeArrowheads="1"/>
                    </pic:cNvPicPr>
                  </pic:nvPicPr>
                  <pic:blipFill>
                    <a:blip r:embed="rId5"/>
                    <a:stretch>
                      <a:fillRect/>
                    </a:stretch>
                  </pic:blipFill>
                  <pic:spPr bwMode="auto">
                    <a:xfrm>
                      <a:off x="0" y="0"/>
                      <a:ext cx="714375" cy="918210"/>
                    </a:xfrm>
                    <a:prstGeom prst="rect">
                      <a:avLst/>
                    </a:prstGeom>
                  </pic:spPr>
                </pic:pic>
              </a:graphicData>
            </a:graphic>
          </wp:anchor>
        </w:drawing>
      </w:r>
      <w:r>
        <w:rPr>
          <w:b/>
          <w:sz w:val="28"/>
          <w:szCs w:val="28"/>
        </w:rPr>
        <w:t>St Julie Catholic Primary School</w:t>
      </w:r>
    </w:p>
    <w:p w14:paraId="43D5BDCB" w14:textId="77777777" w:rsidR="00751EAB" w:rsidRDefault="005A5C62">
      <w:pPr>
        <w:jc w:val="center"/>
      </w:pPr>
      <w:r>
        <w:rPr>
          <w:b/>
          <w:sz w:val="28"/>
          <w:szCs w:val="28"/>
        </w:rPr>
        <w:t>Pupil</w:t>
      </w:r>
      <w:r w:rsidR="00737942">
        <w:rPr>
          <w:b/>
          <w:sz w:val="28"/>
          <w:szCs w:val="28"/>
        </w:rPr>
        <w:t xml:space="preserve"> Premium Strategy Statement 2019/20</w:t>
      </w:r>
    </w:p>
    <w:tbl>
      <w:tblPr>
        <w:tblStyle w:val="TableGrid"/>
        <w:tblW w:w="14992" w:type="dxa"/>
        <w:tblLook w:val="04A0" w:firstRow="1" w:lastRow="0" w:firstColumn="1" w:lastColumn="0" w:noHBand="0" w:noVBand="1"/>
      </w:tblPr>
      <w:tblGrid>
        <w:gridCol w:w="1005"/>
        <w:gridCol w:w="15"/>
        <w:gridCol w:w="1216"/>
        <w:gridCol w:w="126"/>
        <w:gridCol w:w="1431"/>
        <w:gridCol w:w="852"/>
        <w:gridCol w:w="1700"/>
        <w:gridCol w:w="735"/>
        <w:gridCol w:w="7"/>
        <w:gridCol w:w="676"/>
        <w:gridCol w:w="548"/>
        <w:gridCol w:w="161"/>
        <w:gridCol w:w="2269"/>
        <w:gridCol w:w="566"/>
        <w:gridCol w:w="425"/>
        <w:gridCol w:w="1276"/>
        <w:gridCol w:w="1984"/>
      </w:tblGrid>
      <w:tr w:rsidR="00751EAB" w14:paraId="78F7FC36" w14:textId="77777777" w:rsidTr="00454CEB">
        <w:tc>
          <w:tcPr>
            <w:tcW w:w="14992" w:type="dxa"/>
            <w:gridSpan w:val="17"/>
            <w:shd w:val="clear" w:color="auto" w:fill="DBE5F1" w:themeFill="accent1" w:themeFillTint="33"/>
            <w:tcMar>
              <w:left w:w="108" w:type="dxa"/>
            </w:tcMar>
          </w:tcPr>
          <w:p w14:paraId="79DEF207" w14:textId="77777777" w:rsidR="00751EAB" w:rsidRDefault="005A5C62">
            <w:pPr>
              <w:spacing w:after="0" w:line="240" w:lineRule="auto"/>
              <w:rPr>
                <w:b/>
              </w:rPr>
            </w:pPr>
            <w:r>
              <w:rPr>
                <w:b/>
              </w:rPr>
              <w:t>Summary Information</w:t>
            </w:r>
          </w:p>
        </w:tc>
      </w:tr>
      <w:tr w:rsidR="00751EAB" w14:paraId="2FFD0401" w14:textId="77777777" w:rsidTr="00454CEB">
        <w:tc>
          <w:tcPr>
            <w:tcW w:w="2362" w:type="dxa"/>
            <w:gridSpan w:val="4"/>
            <w:shd w:val="clear" w:color="auto" w:fill="auto"/>
            <w:tcMar>
              <w:left w:w="108" w:type="dxa"/>
            </w:tcMar>
          </w:tcPr>
          <w:p w14:paraId="5C93A59E" w14:textId="77777777" w:rsidR="00751EAB" w:rsidRDefault="005A5C62">
            <w:pPr>
              <w:spacing w:after="0" w:line="240" w:lineRule="auto"/>
              <w:rPr>
                <w:b/>
              </w:rPr>
            </w:pPr>
            <w:r>
              <w:rPr>
                <w:b/>
              </w:rPr>
              <w:t>School</w:t>
            </w:r>
          </w:p>
        </w:tc>
        <w:tc>
          <w:tcPr>
            <w:tcW w:w="12630" w:type="dxa"/>
            <w:gridSpan w:val="13"/>
            <w:shd w:val="clear" w:color="auto" w:fill="auto"/>
            <w:tcMar>
              <w:left w:w="108" w:type="dxa"/>
            </w:tcMar>
          </w:tcPr>
          <w:p w14:paraId="27457DEF" w14:textId="77777777" w:rsidR="00751EAB" w:rsidRDefault="005A5C62">
            <w:pPr>
              <w:spacing w:after="0" w:line="240" w:lineRule="auto"/>
            </w:pPr>
            <w:r>
              <w:t>St Julie Catholic Primary School</w:t>
            </w:r>
          </w:p>
        </w:tc>
      </w:tr>
      <w:tr w:rsidR="00751EAB" w14:paraId="0687C714" w14:textId="77777777" w:rsidTr="00454CEB">
        <w:tc>
          <w:tcPr>
            <w:tcW w:w="2362" w:type="dxa"/>
            <w:gridSpan w:val="4"/>
            <w:shd w:val="clear" w:color="auto" w:fill="auto"/>
            <w:tcMar>
              <w:left w:w="108" w:type="dxa"/>
            </w:tcMar>
          </w:tcPr>
          <w:p w14:paraId="188F6D76" w14:textId="77777777" w:rsidR="00751EAB" w:rsidRDefault="005A5C62">
            <w:pPr>
              <w:spacing w:after="0" w:line="240" w:lineRule="auto"/>
              <w:rPr>
                <w:b/>
              </w:rPr>
            </w:pPr>
            <w:r>
              <w:rPr>
                <w:b/>
              </w:rPr>
              <w:t xml:space="preserve">Academic Year </w:t>
            </w:r>
          </w:p>
        </w:tc>
        <w:tc>
          <w:tcPr>
            <w:tcW w:w="1431" w:type="dxa"/>
            <w:shd w:val="clear" w:color="auto" w:fill="auto"/>
            <w:tcMar>
              <w:left w:w="108" w:type="dxa"/>
            </w:tcMar>
          </w:tcPr>
          <w:p w14:paraId="51670C33" w14:textId="77777777" w:rsidR="00751EAB" w:rsidRDefault="00737942" w:rsidP="00737942">
            <w:pPr>
              <w:spacing w:after="0" w:line="240" w:lineRule="auto"/>
            </w:pPr>
            <w:r>
              <w:t>2019/20</w:t>
            </w:r>
          </w:p>
        </w:tc>
        <w:tc>
          <w:tcPr>
            <w:tcW w:w="2552" w:type="dxa"/>
            <w:gridSpan w:val="2"/>
            <w:shd w:val="clear" w:color="auto" w:fill="auto"/>
            <w:tcMar>
              <w:left w:w="108" w:type="dxa"/>
            </w:tcMar>
          </w:tcPr>
          <w:p w14:paraId="794BF38A" w14:textId="77777777" w:rsidR="00751EAB" w:rsidRDefault="005A5C62">
            <w:pPr>
              <w:spacing w:after="0" w:line="240" w:lineRule="auto"/>
              <w:rPr>
                <w:b/>
              </w:rPr>
            </w:pPr>
            <w:r>
              <w:rPr>
                <w:b/>
              </w:rPr>
              <w:t>Total PP Budget</w:t>
            </w:r>
          </w:p>
        </w:tc>
        <w:tc>
          <w:tcPr>
            <w:tcW w:w="1418" w:type="dxa"/>
            <w:gridSpan w:val="3"/>
            <w:shd w:val="clear" w:color="auto" w:fill="auto"/>
            <w:tcMar>
              <w:left w:w="108" w:type="dxa"/>
            </w:tcMar>
          </w:tcPr>
          <w:p w14:paraId="71CAEE5D" w14:textId="7BE8AE92" w:rsidR="00751EAB" w:rsidRDefault="009D079C">
            <w:pPr>
              <w:spacing w:after="0" w:line="240" w:lineRule="auto"/>
            </w:pPr>
            <w:r>
              <w:t>£2</w:t>
            </w:r>
            <w:r w:rsidR="00593D7E">
              <w:t>4,726</w:t>
            </w:r>
            <w:bookmarkStart w:id="0" w:name="_GoBack"/>
            <w:bookmarkEnd w:id="0"/>
          </w:p>
        </w:tc>
        <w:tc>
          <w:tcPr>
            <w:tcW w:w="3544" w:type="dxa"/>
            <w:gridSpan w:val="4"/>
            <w:shd w:val="clear" w:color="auto" w:fill="auto"/>
            <w:tcMar>
              <w:left w:w="108" w:type="dxa"/>
            </w:tcMar>
          </w:tcPr>
          <w:p w14:paraId="11276218" w14:textId="77777777" w:rsidR="00751EAB" w:rsidRDefault="005A5C62">
            <w:pPr>
              <w:spacing w:after="0" w:line="240" w:lineRule="auto"/>
              <w:rPr>
                <w:b/>
              </w:rPr>
            </w:pPr>
            <w:r>
              <w:rPr>
                <w:b/>
              </w:rPr>
              <w:t>Date of most recent PP review</w:t>
            </w:r>
          </w:p>
        </w:tc>
        <w:tc>
          <w:tcPr>
            <w:tcW w:w="3685" w:type="dxa"/>
            <w:gridSpan w:val="3"/>
            <w:shd w:val="clear" w:color="auto" w:fill="auto"/>
            <w:tcMar>
              <w:left w:w="108" w:type="dxa"/>
            </w:tcMar>
          </w:tcPr>
          <w:p w14:paraId="2EEAF362" w14:textId="77777777" w:rsidR="00751EAB" w:rsidRDefault="00912A40">
            <w:pPr>
              <w:spacing w:after="0" w:line="240" w:lineRule="auto"/>
            </w:pPr>
            <w:r>
              <w:t>September 2019</w:t>
            </w:r>
          </w:p>
        </w:tc>
      </w:tr>
      <w:tr w:rsidR="00751EAB" w14:paraId="773FB649" w14:textId="77777777" w:rsidTr="00454CEB">
        <w:tc>
          <w:tcPr>
            <w:tcW w:w="2362" w:type="dxa"/>
            <w:gridSpan w:val="4"/>
            <w:shd w:val="clear" w:color="auto" w:fill="auto"/>
            <w:tcMar>
              <w:left w:w="108" w:type="dxa"/>
            </w:tcMar>
          </w:tcPr>
          <w:p w14:paraId="21ED00E4" w14:textId="77777777" w:rsidR="00751EAB" w:rsidRPr="009D079C" w:rsidRDefault="005A5C62">
            <w:pPr>
              <w:spacing w:after="0" w:line="240" w:lineRule="auto"/>
              <w:rPr>
                <w:b/>
                <w:color w:val="000000" w:themeColor="text1"/>
              </w:rPr>
            </w:pPr>
            <w:r w:rsidRPr="009D079C">
              <w:rPr>
                <w:b/>
                <w:color w:val="000000" w:themeColor="text1"/>
              </w:rPr>
              <w:t>Total no. of pupils</w:t>
            </w:r>
          </w:p>
        </w:tc>
        <w:tc>
          <w:tcPr>
            <w:tcW w:w="1431" w:type="dxa"/>
            <w:shd w:val="clear" w:color="auto" w:fill="auto"/>
            <w:tcMar>
              <w:left w:w="108" w:type="dxa"/>
            </w:tcMar>
          </w:tcPr>
          <w:p w14:paraId="1C47EE44" w14:textId="77777777" w:rsidR="00751EAB" w:rsidRPr="009D079C" w:rsidRDefault="009D079C">
            <w:pPr>
              <w:spacing w:after="0" w:line="240" w:lineRule="auto"/>
              <w:rPr>
                <w:color w:val="000000" w:themeColor="text1"/>
              </w:rPr>
            </w:pPr>
            <w:r w:rsidRPr="009D079C">
              <w:rPr>
                <w:color w:val="000000" w:themeColor="text1"/>
              </w:rPr>
              <w:t>247</w:t>
            </w:r>
          </w:p>
        </w:tc>
        <w:tc>
          <w:tcPr>
            <w:tcW w:w="2552" w:type="dxa"/>
            <w:gridSpan w:val="2"/>
            <w:shd w:val="clear" w:color="auto" w:fill="auto"/>
            <w:tcMar>
              <w:left w:w="108" w:type="dxa"/>
            </w:tcMar>
          </w:tcPr>
          <w:p w14:paraId="0E8C6C77" w14:textId="77777777" w:rsidR="00751EAB" w:rsidRDefault="005A5C62">
            <w:pPr>
              <w:spacing w:after="0" w:line="240" w:lineRule="auto"/>
              <w:rPr>
                <w:b/>
              </w:rPr>
            </w:pPr>
            <w:r>
              <w:rPr>
                <w:b/>
              </w:rPr>
              <w:t>Number of pupils eligible</w:t>
            </w:r>
          </w:p>
        </w:tc>
        <w:tc>
          <w:tcPr>
            <w:tcW w:w="1418" w:type="dxa"/>
            <w:gridSpan w:val="3"/>
            <w:shd w:val="clear" w:color="auto" w:fill="auto"/>
            <w:tcMar>
              <w:left w:w="108" w:type="dxa"/>
            </w:tcMar>
          </w:tcPr>
          <w:p w14:paraId="3C29C8D4" w14:textId="77777777" w:rsidR="00751EAB" w:rsidRDefault="006E4F6F" w:rsidP="005A5C62">
            <w:pPr>
              <w:spacing w:after="0" w:line="240" w:lineRule="auto"/>
            </w:pPr>
            <w:r>
              <w:t>16</w:t>
            </w:r>
          </w:p>
        </w:tc>
        <w:tc>
          <w:tcPr>
            <w:tcW w:w="3544" w:type="dxa"/>
            <w:gridSpan w:val="4"/>
            <w:shd w:val="clear" w:color="auto" w:fill="auto"/>
            <w:tcMar>
              <w:left w:w="108" w:type="dxa"/>
            </w:tcMar>
          </w:tcPr>
          <w:p w14:paraId="2A0A3E51" w14:textId="77777777" w:rsidR="00751EAB" w:rsidRDefault="005A5C62">
            <w:pPr>
              <w:spacing w:after="0" w:line="240" w:lineRule="auto"/>
              <w:rPr>
                <w:b/>
              </w:rPr>
            </w:pPr>
            <w:r>
              <w:rPr>
                <w:b/>
              </w:rPr>
              <w:t>Date for next internal review</w:t>
            </w:r>
          </w:p>
        </w:tc>
        <w:tc>
          <w:tcPr>
            <w:tcW w:w="3685" w:type="dxa"/>
            <w:gridSpan w:val="3"/>
            <w:shd w:val="clear" w:color="auto" w:fill="auto"/>
            <w:tcMar>
              <w:left w:w="108" w:type="dxa"/>
            </w:tcMar>
          </w:tcPr>
          <w:p w14:paraId="66055FF9" w14:textId="77777777" w:rsidR="007B3387" w:rsidRDefault="00912A40" w:rsidP="007B3387">
            <w:pPr>
              <w:spacing w:after="0" w:line="240" w:lineRule="auto"/>
            </w:pPr>
            <w:r>
              <w:t>September 2020</w:t>
            </w:r>
          </w:p>
        </w:tc>
      </w:tr>
      <w:tr w:rsidR="00751EAB" w14:paraId="727A5C93" w14:textId="77777777" w:rsidTr="00454CEB">
        <w:tc>
          <w:tcPr>
            <w:tcW w:w="14992" w:type="dxa"/>
            <w:gridSpan w:val="17"/>
            <w:shd w:val="clear" w:color="auto" w:fill="DBE5F1" w:themeFill="accent1" w:themeFillTint="33"/>
            <w:tcMar>
              <w:left w:w="108" w:type="dxa"/>
            </w:tcMar>
          </w:tcPr>
          <w:p w14:paraId="6240FEC3" w14:textId="77777777" w:rsidR="00751EAB" w:rsidRDefault="005A5C62">
            <w:pPr>
              <w:spacing w:after="0" w:line="240" w:lineRule="auto"/>
              <w:rPr>
                <w:b/>
              </w:rPr>
            </w:pPr>
            <w:r>
              <w:rPr>
                <w:b/>
              </w:rPr>
              <w:t>Current Attainment</w:t>
            </w:r>
          </w:p>
        </w:tc>
      </w:tr>
      <w:tr w:rsidR="00751EAB" w14:paraId="61621921" w14:textId="77777777" w:rsidTr="00454CEB">
        <w:tc>
          <w:tcPr>
            <w:tcW w:w="8311" w:type="dxa"/>
            <w:gridSpan w:val="11"/>
            <w:shd w:val="clear" w:color="auto" w:fill="auto"/>
            <w:tcMar>
              <w:left w:w="108" w:type="dxa"/>
            </w:tcMar>
          </w:tcPr>
          <w:p w14:paraId="5B3E5628" w14:textId="77777777" w:rsidR="00751EAB" w:rsidRDefault="00751EAB">
            <w:pPr>
              <w:spacing w:after="0" w:line="240" w:lineRule="auto"/>
              <w:rPr>
                <w:b/>
              </w:rPr>
            </w:pPr>
          </w:p>
        </w:tc>
        <w:tc>
          <w:tcPr>
            <w:tcW w:w="2430" w:type="dxa"/>
            <w:gridSpan w:val="2"/>
            <w:shd w:val="clear" w:color="auto" w:fill="auto"/>
            <w:tcMar>
              <w:left w:w="108" w:type="dxa"/>
            </w:tcMar>
          </w:tcPr>
          <w:p w14:paraId="017C25F6" w14:textId="77777777" w:rsidR="00751EAB" w:rsidRDefault="009D079C">
            <w:pPr>
              <w:spacing w:after="0" w:line="240" w:lineRule="auto"/>
              <w:rPr>
                <w:b/>
                <w:sz w:val="18"/>
                <w:szCs w:val="18"/>
              </w:rPr>
            </w:pPr>
            <w:r>
              <w:rPr>
                <w:b/>
                <w:sz w:val="18"/>
                <w:szCs w:val="18"/>
              </w:rPr>
              <w:t>School Average (2019</w:t>
            </w:r>
            <w:r w:rsidR="005A5C62">
              <w:rPr>
                <w:b/>
                <w:sz w:val="18"/>
                <w:szCs w:val="18"/>
              </w:rPr>
              <w:t>)</w:t>
            </w:r>
          </w:p>
        </w:tc>
        <w:tc>
          <w:tcPr>
            <w:tcW w:w="4251" w:type="dxa"/>
            <w:gridSpan w:val="4"/>
            <w:shd w:val="clear" w:color="auto" w:fill="auto"/>
            <w:tcMar>
              <w:left w:w="108" w:type="dxa"/>
            </w:tcMar>
          </w:tcPr>
          <w:p w14:paraId="12C8F149" w14:textId="77777777" w:rsidR="00751EAB" w:rsidRDefault="005A5C62">
            <w:pPr>
              <w:spacing w:after="0" w:line="240" w:lineRule="auto"/>
              <w:rPr>
                <w:b/>
                <w:sz w:val="18"/>
                <w:szCs w:val="18"/>
              </w:rPr>
            </w:pPr>
            <w:r>
              <w:rPr>
                <w:b/>
                <w:sz w:val="18"/>
                <w:szCs w:val="18"/>
              </w:rPr>
              <w:t xml:space="preserve">Pupils not eligible for PP </w:t>
            </w:r>
          </w:p>
          <w:p w14:paraId="41DD49B9" w14:textId="77777777" w:rsidR="00751EAB" w:rsidRDefault="005A5C62">
            <w:pPr>
              <w:spacing w:after="0" w:line="240" w:lineRule="auto"/>
              <w:rPr>
                <w:b/>
              </w:rPr>
            </w:pPr>
            <w:r>
              <w:rPr>
                <w:b/>
                <w:sz w:val="18"/>
                <w:szCs w:val="18"/>
              </w:rPr>
              <w:t>( National Average )</w:t>
            </w:r>
          </w:p>
        </w:tc>
      </w:tr>
      <w:tr w:rsidR="00751EAB" w14:paraId="5F0CCF3E" w14:textId="77777777" w:rsidTr="00454CEB">
        <w:tc>
          <w:tcPr>
            <w:tcW w:w="8311" w:type="dxa"/>
            <w:gridSpan w:val="11"/>
            <w:shd w:val="clear" w:color="auto" w:fill="auto"/>
            <w:tcMar>
              <w:left w:w="108" w:type="dxa"/>
            </w:tcMar>
          </w:tcPr>
          <w:p w14:paraId="0B6B041F" w14:textId="77777777" w:rsidR="00751EAB" w:rsidRDefault="005A5C62">
            <w:pPr>
              <w:pStyle w:val="ListParagraph"/>
              <w:ind w:left="0"/>
              <w:rPr>
                <w:rFonts w:ascii="Arial" w:hAnsi="Arial" w:cs="Arial"/>
              </w:rPr>
            </w:pPr>
            <w:r>
              <w:rPr>
                <w:rFonts w:ascii="Arial" w:hAnsi="Arial" w:cs="Arial"/>
              </w:rPr>
              <w:t>Standardised scores in Reading at KS2 (100 is the expected level)</w:t>
            </w:r>
          </w:p>
        </w:tc>
        <w:tc>
          <w:tcPr>
            <w:tcW w:w="2430" w:type="dxa"/>
            <w:gridSpan w:val="2"/>
            <w:shd w:val="clear" w:color="auto" w:fill="auto"/>
            <w:tcMar>
              <w:left w:w="108" w:type="dxa"/>
            </w:tcMar>
          </w:tcPr>
          <w:p w14:paraId="2389D9C7" w14:textId="77777777" w:rsidR="00751EAB" w:rsidRPr="00A804E2" w:rsidRDefault="009D079C" w:rsidP="007B3387">
            <w:pPr>
              <w:tabs>
                <w:tab w:val="left" w:pos="1500"/>
              </w:tabs>
              <w:spacing w:after="0" w:line="240" w:lineRule="auto"/>
            </w:pPr>
            <w:r>
              <w:t>108</w:t>
            </w:r>
          </w:p>
        </w:tc>
        <w:tc>
          <w:tcPr>
            <w:tcW w:w="4251" w:type="dxa"/>
            <w:gridSpan w:val="4"/>
            <w:shd w:val="clear" w:color="auto" w:fill="auto"/>
            <w:tcMar>
              <w:left w:w="108" w:type="dxa"/>
            </w:tcMar>
          </w:tcPr>
          <w:p w14:paraId="7A7469D3" w14:textId="77777777" w:rsidR="00751EAB" w:rsidRPr="005A5C62" w:rsidRDefault="00254233">
            <w:pPr>
              <w:tabs>
                <w:tab w:val="left" w:pos="1500"/>
              </w:tabs>
              <w:spacing w:after="0" w:line="240" w:lineRule="auto"/>
            </w:pPr>
            <w:r>
              <w:t>10</w:t>
            </w:r>
            <w:r w:rsidR="007B3387">
              <w:t>4</w:t>
            </w:r>
          </w:p>
        </w:tc>
      </w:tr>
      <w:tr w:rsidR="00751EAB" w14:paraId="403981C8" w14:textId="77777777" w:rsidTr="00454CEB">
        <w:tc>
          <w:tcPr>
            <w:tcW w:w="8311" w:type="dxa"/>
            <w:gridSpan w:val="11"/>
            <w:shd w:val="clear" w:color="auto" w:fill="auto"/>
            <w:tcMar>
              <w:left w:w="108" w:type="dxa"/>
            </w:tcMar>
            <w:vAlign w:val="bottom"/>
          </w:tcPr>
          <w:p w14:paraId="097766A7" w14:textId="77777777" w:rsidR="00751EAB" w:rsidRDefault="005A5C62">
            <w:pPr>
              <w:spacing w:after="0"/>
              <w:ind w:right="-23"/>
              <w:rPr>
                <w:rFonts w:ascii="Arial" w:eastAsia="Arial" w:hAnsi="Arial" w:cs="Arial"/>
                <w:b/>
              </w:rPr>
            </w:pPr>
            <w:r>
              <w:rPr>
                <w:rFonts w:ascii="Arial" w:hAnsi="Arial" w:cs="Arial"/>
              </w:rPr>
              <w:t>Standardised scores in GPS at KS2 (100 is the expected level)</w:t>
            </w:r>
          </w:p>
        </w:tc>
        <w:tc>
          <w:tcPr>
            <w:tcW w:w="2430" w:type="dxa"/>
            <w:gridSpan w:val="2"/>
            <w:shd w:val="clear" w:color="auto" w:fill="auto"/>
            <w:tcMar>
              <w:left w:w="108" w:type="dxa"/>
            </w:tcMar>
          </w:tcPr>
          <w:p w14:paraId="44A9C213" w14:textId="77777777" w:rsidR="00751EAB" w:rsidRPr="00A804E2" w:rsidRDefault="009D079C" w:rsidP="007B3387">
            <w:pPr>
              <w:tabs>
                <w:tab w:val="left" w:pos="1365"/>
                <w:tab w:val="left" w:pos="1530"/>
              </w:tabs>
              <w:spacing w:after="0" w:line="240" w:lineRule="auto"/>
            </w:pPr>
            <w:r>
              <w:t>109</w:t>
            </w:r>
          </w:p>
        </w:tc>
        <w:tc>
          <w:tcPr>
            <w:tcW w:w="4251" w:type="dxa"/>
            <w:gridSpan w:val="4"/>
            <w:shd w:val="clear" w:color="auto" w:fill="auto"/>
            <w:tcMar>
              <w:left w:w="108" w:type="dxa"/>
            </w:tcMar>
          </w:tcPr>
          <w:p w14:paraId="3F872F97" w14:textId="77777777" w:rsidR="00751EAB" w:rsidRPr="005A5C62" w:rsidRDefault="005A5C62">
            <w:pPr>
              <w:tabs>
                <w:tab w:val="left" w:pos="1365"/>
                <w:tab w:val="left" w:pos="1530"/>
              </w:tabs>
              <w:spacing w:after="0" w:line="240" w:lineRule="auto"/>
            </w:pPr>
            <w:r w:rsidRPr="005A5C62">
              <w:t>106</w:t>
            </w:r>
          </w:p>
        </w:tc>
      </w:tr>
      <w:tr w:rsidR="00751EAB" w14:paraId="58B3972A" w14:textId="77777777" w:rsidTr="00454CEB">
        <w:tc>
          <w:tcPr>
            <w:tcW w:w="8311" w:type="dxa"/>
            <w:gridSpan w:val="11"/>
            <w:shd w:val="clear" w:color="auto" w:fill="auto"/>
            <w:tcMar>
              <w:left w:w="108" w:type="dxa"/>
            </w:tcMar>
            <w:vAlign w:val="bottom"/>
          </w:tcPr>
          <w:p w14:paraId="7934ABE5" w14:textId="77777777" w:rsidR="00751EAB" w:rsidRDefault="005A5C62">
            <w:pPr>
              <w:spacing w:after="0"/>
              <w:ind w:right="-23"/>
              <w:rPr>
                <w:rFonts w:ascii="Arial" w:eastAsia="Arial" w:hAnsi="Arial" w:cs="Arial"/>
                <w:b/>
              </w:rPr>
            </w:pPr>
            <w:r>
              <w:rPr>
                <w:rFonts w:ascii="Arial" w:hAnsi="Arial" w:cs="Arial"/>
              </w:rPr>
              <w:t>Standardised scores in Maths at KS2 (100 is the expected level)</w:t>
            </w:r>
          </w:p>
        </w:tc>
        <w:tc>
          <w:tcPr>
            <w:tcW w:w="2430" w:type="dxa"/>
            <w:gridSpan w:val="2"/>
            <w:shd w:val="clear" w:color="auto" w:fill="auto"/>
            <w:tcMar>
              <w:left w:w="108" w:type="dxa"/>
            </w:tcMar>
          </w:tcPr>
          <w:p w14:paraId="74B37303" w14:textId="77777777" w:rsidR="00751EAB" w:rsidRPr="00A804E2" w:rsidRDefault="009D079C">
            <w:pPr>
              <w:tabs>
                <w:tab w:val="left" w:pos="1515"/>
              </w:tabs>
              <w:spacing w:after="0" w:line="240" w:lineRule="auto"/>
            </w:pPr>
            <w:r>
              <w:t>109</w:t>
            </w:r>
          </w:p>
        </w:tc>
        <w:tc>
          <w:tcPr>
            <w:tcW w:w="4251" w:type="dxa"/>
            <w:gridSpan w:val="4"/>
            <w:shd w:val="clear" w:color="auto" w:fill="auto"/>
            <w:tcMar>
              <w:left w:w="108" w:type="dxa"/>
            </w:tcMar>
          </w:tcPr>
          <w:p w14:paraId="23503FFD" w14:textId="77777777" w:rsidR="00751EAB" w:rsidRPr="005A5C62" w:rsidRDefault="005A5C62">
            <w:pPr>
              <w:tabs>
                <w:tab w:val="left" w:pos="1515"/>
              </w:tabs>
              <w:spacing w:after="0" w:line="240" w:lineRule="auto"/>
            </w:pPr>
            <w:r w:rsidRPr="005A5C62">
              <w:t>10</w:t>
            </w:r>
            <w:r w:rsidR="007B3387">
              <w:t>5</w:t>
            </w:r>
          </w:p>
        </w:tc>
      </w:tr>
      <w:tr w:rsidR="00751EAB" w14:paraId="286A9492" w14:textId="77777777" w:rsidTr="00454CEB">
        <w:tc>
          <w:tcPr>
            <w:tcW w:w="8311" w:type="dxa"/>
            <w:gridSpan w:val="11"/>
            <w:shd w:val="clear" w:color="auto" w:fill="auto"/>
            <w:tcMar>
              <w:left w:w="108" w:type="dxa"/>
            </w:tcMar>
          </w:tcPr>
          <w:p w14:paraId="7CBB0051" w14:textId="77777777" w:rsidR="00751EAB" w:rsidRDefault="00751EAB">
            <w:pPr>
              <w:spacing w:after="0" w:line="240" w:lineRule="auto"/>
            </w:pPr>
          </w:p>
        </w:tc>
        <w:tc>
          <w:tcPr>
            <w:tcW w:w="2430" w:type="dxa"/>
            <w:gridSpan w:val="2"/>
            <w:shd w:val="clear" w:color="auto" w:fill="auto"/>
            <w:tcMar>
              <w:left w:w="108" w:type="dxa"/>
            </w:tcMar>
          </w:tcPr>
          <w:p w14:paraId="2D08305E" w14:textId="77777777" w:rsidR="00751EAB" w:rsidRDefault="00751EAB">
            <w:pPr>
              <w:tabs>
                <w:tab w:val="left" w:pos="1485"/>
              </w:tabs>
              <w:spacing w:after="0" w:line="240" w:lineRule="auto"/>
            </w:pPr>
          </w:p>
        </w:tc>
        <w:tc>
          <w:tcPr>
            <w:tcW w:w="4251" w:type="dxa"/>
            <w:gridSpan w:val="4"/>
            <w:shd w:val="clear" w:color="auto" w:fill="auto"/>
            <w:tcMar>
              <w:left w:w="108" w:type="dxa"/>
            </w:tcMar>
          </w:tcPr>
          <w:p w14:paraId="2E345340" w14:textId="77777777" w:rsidR="00751EAB" w:rsidRDefault="00751EAB">
            <w:pPr>
              <w:tabs>
                <w:tab w:val="left" w:pos="1485"/>
              </w:tabs>
              <w:spacing w:after="0" w:line="240" w:lineRule="auto"/>
            </w:pPr>
          </w:p>
        </w:tc>
      </w:tr>
      <w:tr w:rsidR="00751EAB" w14:paraId="710A8112" w14:textId="77777777" w:rsidTr="00454CEB">
        <w:tc>
          <w:tcPr>
            <w:tcW w:w="14992" w:type="dxa"/>
            <w:gridSpan w:val="17"/>
            <w:shd w:val="clear" w:color="auto" w:fill="DBE5F1" w:themeFill="accent1" w:themeFillTint="33"/>
            <w:tcMar>
              <w:left w:w="108" w:type="dxa"/>
            </w:tcMar>
          </w:tcPr>
          <w:p w14:paraId="1BD2621C" w14:textId="77777777" w:rsidR="00751EAB" w:rsidRDefault="005A5C62">
            <w:pPr>
              <w:spacing w:after="0" w:line="240" w:lineRule="auto"/>
              <w:rPr>
                <w:b/>
              </w:rPr>
            </w:pPr>
            <w:r>
              <w:rPr>
                <w:b/>
              </w:rPr>
              <w:t xml:space="preserve">Barriers to Future Attainment </w:t>
            </w:r>
            <w:r w:rsidR="009B1E5B">
              <w:rPr>
                <w:b/>
              </w:rPr>
              <w:t>(</w:t>
            </w:r>
            <w:r>
              <w:rPr>
                <w:b/>
              </w:rPr>
              <w:t>for pupils eligible for PP</w:t>
            </w:r>
            <w:r w:rsidR="009B1E5B">
              <w:rPr>
                <w:b/>
              </w:rPr>
              <w:t>, including high ability)</w:t>
            </w:r>
          </w:p>
        </w:tc>
      </w:tr>
      <w:tr w:rsidR="00751EAB" w14:paraId="01643036" w14:textId="77777777" w:rsidTr="00454CEB">
        <w:tc>
          <w:tcPr>
            <w:tcW w:w="14992" w:type="dxa"/>
            <w:gridSpan w:val="17"/>
            <w:shd w:val="clear" w:color="auto" w:fill="DBE5F1" w:themeFill="accent1" w:themeFillTint="33"/>
            <w:tcMar>
              <w:left w:w="108" w:type="dxa"/>
            </w:tcMar>
          </w:tcPr>
          <w:p w14:paraId="3B067285" w14:textId="77777777" w:rsidR="00751EAB" w:rsidRDefault="005A5C62">
            <w:pPr>
              <w:spacing w:after="0" w:line="240" w:lineRule="auto"/>
              <w:rPr>
                <w:b/>
              </w:rPr>
            </w:pPr>
            <w:r>
              <w:rPr>
                <w:b/>
              </w:rPr>
              <w:t>In-School Barriers:</w:t>
            </w:r>
            <w:r w:rsidR="009B1E5B">
              <w:rPr>
                <w:b/>
              </w:rPr>
              <w:t xml:space="preserve"> (issues to be addressed in school)</w:t>
            </w:r>
          </w:p>
        </w:tc>
      </w:tr>
      <w:tr w:rsidR="00751EAB" w14:paraId="05895CBA" w14:textId="77777777" w:rsidTr="00454CEB">
        <w:tc>
          <w:tcPr>
            <w:tcW w:w="1020" w:type="dxa"/>
            <w:gridSpan w:val="2"/>
            <w:shd w:val="clear" w:color="auto" w:fill="auto"/>
            <w:tcMar>
              <w:left w:w="108" w:type="dxa"/>
            </w:tcMar>
          </w:tcPr>
          <w:p w14:paraId="7B9A3D90" w14:textId="77777777" w:rsidR="00751EAB" w:rsidRDefault="00751EAB">
            <w:pPr>
              <w:spacing w:after="0" w:line="240" w:lineRule="auto"/>
            </w:pPr>
          </w:p>
        </w:tc>
        <w:tc>
          <w:tcPr>
            <w:tcW w:w="13972" w:type="dxa"/>
            <w:gridSpan w:val="15"/>
            <w:shd w:val="clear" w:color="auto" w:fill="auto"/>
            <w:tcMar>
              <w:left w:w="108" w:type="dxa"/>
            </w:tcMar>
          </w:tcPr>
          <w:p w14:paraId="6738B51F" w14:textId="77777777" w:rsidR="00751EAB" w:rsidRDefault="005A5C62">
            <w:pPr>
              <w:spacing w:after="0" w:line="240" w:lineRule="auto"/>
            </w:pPr>
            <w:r>
              <w:t>There are only a small number of pupils in school who are eligible for PP</w:t>
            </w:r>
          </w:p>
        </w:tc>
      </w:tr>
      <w:tr w:rsidR="00751EAB" w14:paraId="253D7992" w14:textId="77777777" w:rsidTr="00454CEB">
        <w:tc>
          <w:tcPr>
            <w:tcW w:w="1020" w:type="dxa"/>
            <w:gridSpan w:val="2"/>
            <w:shd w:val="clear" w:color="auto" w:fill="auto"/>
            <w:tcMar>
              <w:left w:w="108" w:type="dxa"/>
            </w:tcMar>
          </w:tcPr>
          <w:p w14:paraId="01B705B8" w14:textId="77777777" w:rsidR="00751EAB" w:rsidRDefault="005A5C62">
            <w:pPr>
              <w:spacing w:after="0" w:line="240" w:lineRule="auto"/>
              <w:rPr>
                <w:b/>
              </w:rPr>
            </w:pPr>
            <w:r>
              <w:rPr>
                <w:b/>
              </w:rPr>
              <w:t>A</w:t>
            </w:r>
          </w:p>
        </w:tc>
        <w:tc>
          <w:tcPr>
            <w:tcW w:w="13972" w:type="dxa"/>
            <w:gridSpan w:val="15"/>
            <w:shd w:val="clear" w:color="auto" w:fill="auto"/>
            <w:tcMar>
              <w:left w:w="108" w:type="dxa"/>
            </w:tcMar>
          </w:tcPr>
          <w:p w14:paraId="65631585" w14:textId="77777777" w:rsidR="00751EAB" w:rsidRDefault="005A5C62">
            <w:pPr>
              <w:spacing w:after="0" w:line="240" w:lineRule="auto"/>
            </w:pPr>
            <w:r>
              <w:t>A number of pupils eligible for PP also have SEN, which affects progress in core areas</w:t>
            </w:r>
          </w:p>
        </w:tc>
      </w:tr>
      <w:tr w:rsidR="00751EAB" w14:paraId="0035B3A3" w14:textId="77777777" w:rsidTr="00454CEB">
        <w:tc>
          <w:tcPr>
            <w:tcW w:w="14992" w:type="dxa"/>
            <w:gridSpan w:val="17"/>
            <w:shd w:val="clear" w:color="auto" w:fill="DBE5F1" w:themeFill="accent1" w:themeFillTint="33"/>
            <w:tcMar>
              <w:left w:w="108" w:type="dxa"/>
            </w:tcMar>
          </w:tcPr>
          <w:p w14:paraId="426D8FE2" w14:textId="77777777" w:rsidR="00751EAB" w:rsidRDefault="005A5C62">
            <w:pPr>
              <w:spacing w:after="0" w:line="240" w:lineRule="auto"/>
              <w:rPr>
                <w:b/>
              </w:rPr>
            </w:pPr>
            <w:r>
              <w:rPr>
                <w:b/>
              </w:rPr>
              <w:t>External Barriers</w:t>
            </w:r>
            <w:r w:rsidR="009B1E5B">
              <w:rPr>
                <w:b/>
              </w:rPr>
              <w:t>: (issues which also require action outside school, such as attendance)</w:t>
            </w:r>
          </w:p>
        </w:tc>
      </w:tr>
      <w:tr w:rsidR="00751EAB" w14:paraId="73FD4036" w14:textId="77777777" w:rsidTr="00454CEB">
        <w:tc>
          <w:tcPr>
            <w:tcW w:w="1005" w:type="dxa"/>
            <w:shd w:val="clear" w:color="auto" w:fill="auto"/>
            <w:tcMar>
              <w:left w:w="108" w:type="dxa"/>
            </w:tcMar>
          </w:tcPr>
          <w:p w14:paraId="27392239" w14:textId="77777777" w:rsidR="00751EAB" w:rsidRDefault="005A5C62">
            <w:pPr>
              <w:spacing w:after="0" w:line="240" w:lineRule="auto"/>
              <w:rPr>
                <w:b/>
              </w:rPr>
            </w:pPr>
            <w:r>
              <w:rPr>
                <w:b/>
              </w:rPr>
              <w:t>B</w:t>
            </w:r>
          </w:p>
        </w:tc>
        <w:tc>
          <w:tcPr>
            <w:tcW w:w="13987" w:type="dxa"/>
            <w:gridSpan w:val="16"/>
            <w:shd w:val="clear" w:color="auto" w:fill="auto"/>
            <w:tcMar>
              <w:left w:w="108" w:type="dxa"/>
            </w:tcMar>
          </w:tcPr>
          <w:p w14:paraId="55E2AC6A" w14:textId="77777777" w:rsidR="007B3387" w:rsidRDefault="005A5C62" w:rsidP="007B3387">
            <w:pPr>
              <w:spacing w:after="0" w:line="240" w:lineRule="auto"/>
            </w:pPr>
            <w:r>
              <w:t>Some children who are eligible for PP have emotional needs which impact on their learning on a daily basis</w:t>
            </w:r>
          </w:p>
        </w:tc>
      </w:tr>
      <w:tr w:rsidR="00751EAB" w14:paraId="65CFA27F" w14:textId="77777777" w:rsidTr="00454CEB">
        <w:tc>
          <w:tcPr>
            <w:tcW w:w="7080" w:type="dxa"/>
            <w:gridSpan w:val="8"/>
            <w:shd w:val="clear" w:color="auto" w:fill="DBE5F1" w:themeFill="accent1" w:themeFillTint="33"/>
            <w:tcMar>
              <w:left w:w="108" w:type="dxa"/>
            </w:tcMar>
          </w:tcPr>
          <w:p w14:paraId="5595526C" w14:textId="77777777" w:rsidR="00751EAB" w:rsidRDefault="005A5C62">
            <w:pPr>
              <w:spacing w:after="0" w:line="240" w:lineRule="auto"/>
              <w:rPr>
                <w:b/>
              </w:rPr>
            </w:pPr>
            <w:r>
              <w:rPr>
                <w:b/>
              </w:rPr>
              <w:t>Desired Outcomes</w:t>
            </w:r>
          </w:p>
        </w:tc>
        <w:tc>
          <w:tcPr>
            <w:tcW w:w="7912" w:type="dxa"/>
            <w:gridSpan w:val="9"/>
            <w:shd w:val="clear" w:color="auto" w:fill="DBE5F1" w:themeFill="accent1" w:themeFillTint="33"/>
            <w:tcMar>
              <w:left w:w="108" w:type="dxa"/>
            </w:tcMar>
          </w:tcPr>
          <w:p w14:paraId="5C87EE59" w14:textId="77777777" w:rsidR="00751EAB" w:rsidRDefault="005A5C62">
            <w:pPr>
              <w:spacing w:after="0" w:line="240" w:lineRule="auto"/>
              <w:rPr>
                <w:b/>
              </w:rPr>
            </w:pPr>
            <w:r>
              <w:rPr>
                <w:b/>
              </w:rPr>
              <w:t>Success Criteria</w:t>
            </w:r>
          </w:p>
        </w:tc>
      </w:tr>
      <w:tr w:rsidR="00751EAB" w14:paraId="71B68085" w14:textId="77777777" w:rsidTr="00454CEB">
        <w:tc>
          <w:tcPr>
            <w:tcW w:w="7080" w:type="dxa"/>
            <w:gridSpan w:val="8"/>
            <w:shd w:val="clear" w:color="auto" w:fill="auto"/>
            <w:tcMar>
              <w:left w:w="108" w:type="dxa"/>
            </w:tcMar>
          </w:tcPr>
          <w:p w14:paraId="6999DDFE" w14:textId="77777777" w:rsidR="00751EAB" w:rsidRDefault="005A5C62">
            <w:pPr>
              <w:spacing w:after="0" w:line="240" w:lineRule="auto"/>
              <w:rPr>
                <w:rFonts w:ascii="Century Gothic" w:hAnsi="Century Gothic"/>
                <w:sz w:val="20"/>
                <w:szCs w:val="20"/>
              </w:rPr>
            </w:pPr>
            <w:r>
              <w:rPr>
                <w:rFonts w:ascii="Century Gothic" w:hAnsi="Century Gothic"/>
                <w:sz w:val="20"/>
                <w:szCs w:val="20"/>
              </w:rPr>
              <w:t>A: Children who are eligible for PP who have additional SEN, will make progress in line with other groups and compared to similar pupils nationally</w:t>
            </w:r>
          </w:p>
        </w:tc>
        <w:tc>
          <w:tcPr>
            <w:tcW w:w="7912" w:type="dxa"/>
            <w:gridSpan w:val="9"/>
            <w:shd w:val="clear" w:color="auto" w:fill="auto"/>
            <w:tcMar>
              <w:left w:w="108" w:type="dxa"/>
            </w:tcMar>
          </w:tcPr>
          <w:p w14:paraId="4EE63CC7" w14:textId="77777777" w:rsidR="00751EAB" w:rsidRDefault="005A5C62">
            <w:pPr>
              <w:spacing w:after="0" w:line="240" w:lineRule="auto"/>
              <w:rPr>
                <w:rFonts w:ascii="Century Gothic" w:hAnsi="Century Gothic"/>
                <w:sz w:val="20"/>
                <w:szCs w:val="20"/>
              </w:rPr>
            </w:pPr>
            <w:r>
              <w:rPr>
                <w:rFonts w:ascii="Century Gothic" w:hAnsi="Century Gothic"/>
                <w:sz w:val="20"/>
                <w:szCs w:val="20"/>
              </w:rPr>
              <w:t>Small group early intervention, speech and language programmes and social communication groups will be implemented.  Pupils eligible for PP will make required progress to ensure  no gap in reading, writing, maths and phonics</w:t>
            </w:r>
          </w:p>
        </w:tc>
      </w:tr>
      <w:tr w:rsidR="00751EAB" w14:paraId="2A06FAB8" w14:textId="77777777" w:rsidTr="00454CEB">
        <w:tc>
          <w:tcPr>
            <w:tcW w:w="7080" w:type="dxa"/>
            <w:gridSpan w:val="8"/>
            <w:shd w:val="clear" w:color="auto" w:fill="auto"/>
            <w:tcMar>
              <w:left w:w="108" w:type="dxa"/>
            </w:tcMar>
          </w:tcPr>
          <w:p w14:paraId="016D738B" w14:textId="77777777" w:rsidR="00751EAB" w:rsidRDefault="00751EAB">
            <w:pPr>
              <w:spacing w:after="0" w:line="240" w:lineRule="auto"/>
              <w:rPr>
                <w:rFonts w:ascii="Century Gothic" w:hAnsi="Century Gothic"/>
                <w:sz w:val="20"/>
                <w:szCs w:val="20"/>
              </w:rPr>
            </w:pPr>
          </w:p>
        </w:tc>
        <w:tc>
          <w:tcPr>
            <w:tcW w:w="7912" w:type="dxa"/>
            <w:gridSpan w:val="9"/>
            <w:shd w:val="clear" w:color="auto" w:fill="auto"/>
            <w:tcMar>
              <w:left w:w="108" w:type="dxa"/>
            </w:tcMar>
          </w:tcPr>
          <w:p w14:paraId="5EF64D79" w14:textId="77777777" w:rsidR="00751EAB" w:rsidRDefault="005A5C62">
            <w:pPr>
              <w:spacing w:after="0" w:line="240" w:lineRule="auto"/>
              <w:rPr>
                <w:rFonts w:ascii="Century Gothic" w:hAnsi="Century Gothic"/>
                <w:sz w:val="20"/>
                <w:szCs w:val="20"/>
              </w:rPr>
            </w:pPr>
            <w:r>
              <w:rPr>
                <w:rFonts w:ascii="Century Gothic" w:hAnsi="Century Gothic"/>
                <w:sz w:val="20"/>
                <w:szCs w:val="20"/>
              </w:rPr>
              <w:t>Targeted interventions will be implemented throughout the school, along with the provision of other educational resources to aid learning so that SEN pupils eligible for PP make the same progress as other groups.</w:t>
            </w:r>
          </w:p>
        </w:tc>
      </w:tr>
      <w:tr w:rsidR="00751EAB" w14:paraId="603EA26B" w14:textId="77777777" w:rsidTr="00454CEB">
        <w:tc>
          <w:tcPr>
            <w:tcW w:w="7080" w:type="dxa"/>
            <w:gridSpan w:val="8"/>
            <w:shd w:val="clear" w:color="auto" w:fill="auto"/>
            <w:tcMar>
              <w:left w:w="108" w:type="dxa"/>
            </w:tcMar>
          </w:tcPr>
          <w:p w14:paraId="68CD2907" w14:textId="77777777" w:rsidR="00751EAB" w:rsidRDefault="005A5C62">
            <w:pPr>
              <w:spacing w:after="0" w:line="240" w:lineRule="auto"/>
              <w:rPr>
                <w:rFonts w:ascii="Century Gothic" w:hAnsi="Century Gothic"/>
                <w:sz w:val="20"/>
                <w:szCs w:val="20"/>
              </w:rPr>
            </w:pPr>
            <w:r>
              <w:rPr>
                <w:rFonts w:ascii="Century Gothic" w:hAnsi="Century Gothic"/>
                <w:b/>
                <w:sz w:val="20"/>
                <w:szCs w:val="20"/>
              </w:rPr>
              <w:t>B</w:t>
            </w:r>
            <w:r>
              <w:rPr>
                <w:rFonts w:ascii="Century Gothic" w:hAnsi="Century Gothic"/>
                <w:sz w:val="20"/>
                <w:szCs w:val="20"/>
              </w:rPr>
              <w:t>: Pupils with significant Social and Emotional needs will not have a barrier to their learning</w:t>
            </w:r>
          </w:p>
        </w:tc>
        <w:tc>
          <w:tcPr>
            <w:tcW w:w="7912" w:type="dxa"/>
            <w:gridSpan w:val="9"/>
            <w:shd w:val="clear" w:color="auto" w:fill="auto"/>
            <w:tcMar>
              <w:left w:w="108" w:type="dxa"/>
            </w:tcMar>
          </w:tcPr>
          <w:p w14:paraId="21ABD6A0" w14:textId="77777777" w:rsidR="00751EAB" w:rsidRDefault="005A5C62">
            <w:pPr>
              <w:spacing w:after="0" w:line="240" w:lineRule="auto"/>
              <w:rPr>
                <w:rFonts w:ascii="Century Gothic" w:hAnsi="Century Gothic"/>
                <w:sz w:val="20"/>
                <w:szCs w:val="20"/>
              </w:rPr>
            </w:pPr>
            <w:r>
              <w:rPr>
                <w:rFonts w:ascii="Century Gothic" w:hAnsi="Century Gothic"/>
                <w:sz w:val="20"/>
                <w:szCs w:val="20"/>
              </w:rPr>
              <w:t>Pastoral support and interventions will be put in place to support Social and Emotional needs and reduce the impact of these on learning, ensuring that pupils eligible for PP achieve Age Related Expectation or above. This includes provision of ‘Rainbows’ counselling group twice a week.</w:t>
            </w:r>
          </w:p>
          <w:p w14:paraId="58556CE0" w14:textId="77777777" w:rsidR="00751EAB" w:rsidRDefault="00751EAB">
            <w:pPr>
              <w:spacing w:after="0" w:line="240" w:lineRule="auto"/>
              <w:rPr>
                <w:rFonts w:ascii="Century Gothic" w:hAnsi="Century Gothic"/>
                <w:sz w:val="20"/>
                <w:szCs w:val="20"/>
              </w:rPr>
            </w:pPr>
          </w:p>
        </w:tc>
      </w:tr>
      <w:tr w:rsidR="00751EAB" w14:paraId="6BE7F90D" w14:textId="77777777" w:rsidTr="00454CEB">
        <w:tc>
          <w:tcPr>
            <w:tcW w:w="14992" w:type="dxa"/>
            <w:gridSpan w:val="17"/>
            <w:shd w:val="clear" w:color="auto" w:fill="CFDCE3"/>
            <w:tcMar>
              <w:top w:w="57" w:type="dxa"/>
              <w:left w:w="108" w:type="dxa"/>
              <w:bottom w:w="57" w:type="dxa"/>
            </w:tcMar>
          </w:tcPr>
          <w:p w14:paraId="5DE9C2ED" w14:textId="77777777" w:rsidR="00751EAB" w:rsidRDefault="005A5C62">
            <w:pPr>
              <w:pStyle w:val="ListParagraph"/>
              <w:numPr>
                <w:ilvl w:val="0"/>
                <w:numId w:val="2"/>
              </w:numPr>
              <w:ind w:left="426" w:hanging="284"/>
              <w:rPr>
                <w:rFonts w:ascii="Arial" w:hAnsi="Arial" w:cs="Arial"/>
                <w:b/>
              </w:rPr>
            </w:pPr>
            <w:r>
              <w:rPr>
                <w:rFonts w:ascii="Arial" w:hAnsi="Arial" w:cs="Arial"/>
                <w:b/>
              </w:rPr>
              <w:lastRenderedPageBreak/>
              <w:t xml:space="preserve">Planned expenditure </w:t>
            </w:r>
          </w:p>
        </w:tc>
      </w:tr>
      <w:tr w:rsidR="00751EAB" w14:paraId="7EFA6CE8" w14:textId="77777777" w:rsidTr="00454CEB">
        <w:tc>
          <w:tcPr>
            <w:tcW w:w="2236" w:type="dxa"/>
            <w:gridSpan w:val="3"/>
            <w:shd w:val="clear" w:color="auto" w:fill="auto"/>
            <w:tcMar>
              <w:top w:w="57" w:type="dxa"/>
              <w:left w:w="108" w:type="dxa"/>
              <w:bottom w:w="57" w:type="dxa"/>
            </w:tcMar>
          </w:tcPr>
          <w:p w14:paraId="3D4A6AB3" w14:textId="77777777" w:rsidR="00751EAB" w:rsidRDefault="005A5C62">
            <w:pPr>
              <w:pStyle w:val="ListParagraph"/>
              <w:ind w:left="0"/>
              <w:rPr>
                <w:rFonts w:ascii="Arial" w:hAnsi="Arial" w:cs="Arial"/>
                <w:b/>
              </w:rPr>
            </w:pPr>
            <w:r>
              <w:rPr>
                <w:rFonts w:ascii="Arial" w:hAnsi="Arial" w:cs="Arial"/>
                <w:b/>
              </w:rPr>
              <w:t>Academic year</w:t>
            </w:r>
          </w:p>
        </w:tc>
        <w:tc>
          <w:tcPr>
            <w:tcW w:w="12756" w:type="dxa"/>
            <w:gridSpan w:val="14"/>
            <w:shd w:val="clear" w:color="auto" w:fill="auto"/>
            <w:tcMar>
              <w:left w:w="108" w:type="dxa"/>
            </w:tcMar>
          </w:tcPr>
          <w:p w14:paraId="6AEC1BFB" w14:textId="77777777" w:rsidR="00751EAB" w:rsidRDefault="005A5C62">
            <w:pPr>
              <w:pStyle w:val="ListParagraph"/>
              <w:ind w:left="426"/>
            </w:pPr>
            <w:r>
              <w:rPr>
                <w:rFonts w:ascii="Arial" w:hAnsi="Arial" w:cs="Arial"/>
                <w:b/>
              </w:rPr>
              <w:t>201</w:t>
            </w:r>
            <w:r w:rsidR="004439F5">
              <w:rPr>
                <w:rFonts w:ascii="Arial" w:hAnsi="Arial" w:cs="Arial"/>
                <w:b/>
              </w:rPr>
              <w:t>9-20</w:t>
            </w:r>
          </w:p>
        </w:tc>
      </w:tr>
      <w:tr w:rsidR="00751EAB" w14:paraId="3B4862A8" w14:textId="77777777" w:rsidTr="00454CEB">
        <w:tc>
          <w:tcPr>
            <w:tcW w:w="14992" w:type="dxa"/>
            <w:gridSpan w:val="17"/>
            <w:shd w:val="clear" w:color="auto" w:fill="CFDCE3"/>
            <w:tcMar>
              <w:top w:w="57" w:type="dxa"/>
              <w:left w:w="108" w:type="dxa"/>
              <w:bottom w:w="57" w:type="dxa"/>
            </w:tcMar>
          </w:tcPr>
          <w:p w14:paraId="683102E1" w14:textId="77777777" w:rsidR="00751EAB" w:rsidRDefault="005A5C62">
            <w:pPr>
              <w:spacing w:after="0" w:line="240" w:lineRule="auto"/>
              <w:rPr>
                <w:rFonts w:ascii="Arial" w:hAnsi="Arial" w:cs="Arial"/>
                <w:sz w:val="20"/>
                <w:szCs w:val="20"/>
              </w:rPr>
            </w:pPr>
            <w:r>
              <w:rPr>
                <w:rFonts w:ascii="Arial" w:hAnsi="Arial" w:cs="Arial"/>
                <w:sz w:val="20"/>
                <w:szCs w:val="20"/>
              </w:rPr>
              <w:t xml:space="preserve">The three headings below enable schools to demonstrate how they are using the pupil premium to improve classroom pedagogy, provide targeted support and support whole school strategies. </w:t>
            </w:r>
          </w:p>
        </w:tc>
      </w:tr>
      <w:tr w:rsidR="00751EAB" w14:paraId="2C6ED3F2" w14:textId="77777777" w:rsidTr="00454CEB">
        <w:tc>
          <w:tcPr>
            <w:tcW w:w="14992" w:type="dxa"/>
            <w:gridSpan w:val="17"/>
            <w:shd w:val="clear" w:color="auto" w:fill="FFFFFF"/>
            <w:tcMar>
              <w:top w:w="57" w:type="dxa"/>
              <w:left w:w="108" w:type="dxa"/>
              <w:bottom w:w="57" w:type="dxa"/>
            </w:tcMar>
          </w:tcPr>
          <w:p w14:paraId="62FD969A" w14:textId="77777777" w:rsidR="00751EAB" w:rsidRDefault="005A5C62">
            <w:pPr>
              <w:spacing w:after="0"/>
            </w:pPr>
            <w:r>
              <w:rPr>
                <w:rFonts w:ascii="Arial" w:hAnsi="Arial" w:cs="Arial"/>
                <w:b/>
              </w:rPr>
              <w:t xml:space="preserve">Quality of teaching for all   </w:t>
            </w:r>
            <w:r>
              <w:rPr>
                <w:rFonts w:ascii="Arial" w:hAnsi="Arial" w:cs="Arial"/>
                <w:sz w:val="18"/>
                <w:szCs w:val="18"/>
              </w:rPr>
              <w:t xml:space="preserve">We have combined professional knowledge with robust evidence about approaches which are known to be effective. We have  consulted external evidence sources such as: the </w:t>
            </w:r>
            <w:hyperlink r:id="rId6">
              <w:r>
                <w:rPr>
                  <w:rStyle w:val="InternetLink"/>
                  <w:rFonts w:ascii="Arial" w:hAnsi="Arial" w:cs="Arial"/>
                  <w:sz w:val="18"/>
                  <w:szCs w:val="18"/>
                </w:rPr>
                <w:t>Teaching and Learning Toolkit</w:t>
              </w:r>
            </w:hyperlink>
            <w:r>
              <w:rPr>
                <w:rFonts w:ascii="Arial" w:hAnsi="Arial" w:cs="Arial"/>
                <w:sz w:val="18"/>
                <w:szCs w:val="18"/>
              </w:rPr>
              <w:t xml:space="preserve">, the </w:t>
            </w:r>
            <w:hyperlink r:id="rId7">
              <w:r>
                <w:rPr>
                  <w:rStyle w:val="InternetLink"/>
                  <w:rFonts w:ascii="Arial" w:hAnsi="Arial" w:cs="Arial"/>
                  <w:sz w:val="18"/>
                  <w:szCs w:val="18"/>
                </w:rPr>
                <w:t>NfER report</w:t>
              </w:r>
            </w:hyperlink>
            <w:r>
              <w:rPr>
                <w:rFonts w:ascii="Arial" w:hAnsi="Arial" w:cs="Arial"/>
                <w:sz w:val="18"/>
                <w:szCs w:val="18"/>
              </w:rPr>
              <w:t xml:space="preserve"> on supporting the attainment of disadvantaged pupils, </w:t>
            </w:r>
            <w:hyperlink r:id="rId8">
              <w:r>
                <w:rPr>
                  <w:rStyle w:val="InternetLink"/>
                  <w:rFonts w:ascii="Arial" w:hAnsi="Arial" w:cs="Arial"/>
                  <w:sz w:val="18"/>
                  <w:szCs w:val="18"/>
                </w:rPr>
                <w:t>Ofsted’s 2013 report</w:t>
              </w:r>
            </w:hyperlink>
            <w:r>
              <w:rPr>
                <w:rFonts w:ascii="Arial" w:hAnsi="Arial" w:cs="Arial"/>
                <w:sz w:val="18"/>
                <w:szCs w:val="18"/>
              </w:rPr>
              <w:t xml:space="preserve"> on the pupil premium and </w:t>
            </w:r>
            <w:hyperlink r:id="rId9">
              <w:r>
                <w:rPr>
                  <w:rStyle w:val="InternetLink"/>
                  <w:rFonts w:ascii="Arial" w:hAnsi="Arial" w:cs="Arial"/>
                  <w:sz w:val="18"/>
                  <w:szCs w:val="18"/>
                </w:rPr>
                <w:t>Ofsted’s 2014 report</w:t>
              </w:r>
            </w:hyperlink>
            <w:r>
              <w:rPr>
                <w:rFonts w:ascii="Arial" w:hAnsi="Arial" w:cs="Arial"/>
                <w:sz w:val="18"/>
                <w:szCs w:val="18"/>
              </w:rPr>
              <w:t xml:space="preserve"> on pupil premium progress. </w:t>
            </w:r>
          </w:p>
          <w:p w14:paraId="35878E67" w14:textId="77777777" w:rsidR="00751EAB" w:rsidRDefault="00751EAB">
            <w:pPr>
              <w:pStyle w:val="ListParagraph"/>
              <w:numPr>
                <w:ilvl w:val="0"/>
                <w:numId w:val="1"/>
              </w:numPr>
              <w:ind w:left="426" w:hanging="142"/>
              <w:rPr>
                <w:rFonts w:ascii="Arial" w:hAnsi="Arial" w:cs="Arial"/>
                <w:b/>
              </w:rPr>
            </w:pPr>
          </w:p>
        </w:tc>
      </w:tr>
      <w:tr w:rsidR="00751EAB" w14:paraId="22AEDC6F" w14:textId="77777777" w:rsidTr="00454CEB">
        <w:trPr>
          <w:trHeight w:val="289"/>
        </w:trPr>
        <w:tc>
          <w:tcPr>
            <w:tcW w:w="2236" w:type="dxa"/>
            <w:gridSpan w:val="3"/>
            <w:shd w:val="clear" w:color="auto" w:fill="auto"/>
            <w:tcMar>
              <w:top w:w="57" w:type="dxa"/>
              <w:left w:w="108" w:type="dxa"/>
              <w:bottom w:w="57" w:type="dxa"/>
            </w:tcMar>
          </w:tcPr>
          <w:p w14:paraId="32C5AC2E" w14:textId="77777777" w:rsidR="00751EAB" w:rsidRDefault="005A5C62">
            <w:pPr>
              <w:spacing w:after="0" w:line="240" w:lineRule="auto"/>
              <w:rPr>
                <w:rFonts w:ascii="Arial" w:hAnsi="Arial" w:cs="Arial"/>
                <w:b/>
                <w:sz w:val="20"/>
                <w:szCs w:val="20"/>
              </w:rPr>
            </w:pPr>
            <w:r>
              <w:rPr>
                <w:rFonts w:ascii="Arial" w:hAnsi="Arial" w:cs="Arial"/>
                <w:b/>
                <w:sz w:val="20"/>
                <w:szCs w:val="20"/>
              </w:rPr>
              <w:t>Desired outcome</w:t>
            </w:r>
          </w:p>
        </w:tc>
        <w:tc>
          <w:tcPr>
            <w:tcW w:w="2409" w:type="dxa"/>
            <w:gridSpan w:val="3"/>
            <w:shd w:val="clear" w:color="auto" w:fill="auto"/>
            <w:tcMar>
              <w:top w:w="57" w:type="dxa"/>
              <w:left w:w="108" w:type="dxa"/>
              <w:bottom w:w="57" w:type="dxa"/>
            </w:tcMar>
          </w:tcPr>
          <w:p w14:paraId="646B1C34" w14:textId="77777777" w:rsidR="00751EAB" w:rsidRDefault="005A5C62">
            <w:pPr>
              <w:spacing w:after="0" w:line="240" w:lineRule="auto"/>
              <w:rPr>
                <w:rFonts w:ascii="Arial" w:hAnsi="Arial" w:cs="Arial"/>
                <w:b/>
                <w:sz w:val="20"/>
                <w:szCs w:val="20"/>
              </w:rPr>
            </w:pPr>
            <w:r>
              <w:rPr>
                <w:rFonts w:ascii="Arial" w:hAnsi="Arial" w:cs="Arial"/>
                <w:b/>
                <w:sz w:val="20"/>
                <w:szCs w:val="20"/>
              </w:rPr>
              <w:t>Chosen action / approach</w:t>
            </w:r>
          </w:p>
        </w:tc>
        <w:tc>
          <w:tcPr>
            <w:tcW w:w="3827" w:type="dxa"/>
            <w:gridSpan w:val="6"/>
            <w:shd w:val="clear" w:color="auto" w:fill="auto"/>
            <w:tcMar>
              <w:top w:w="57" w:type="dxa"/>
              <w:left w:w="108" w:type="dxa"/>
              <w:bottom w:w="57" w:type="dxa"/>
            </w:tcMar>
          </w:tcPr>
          <w:p w14:paraId="7C25D945" w14:textId="77777777" w:rsidR="00751EAB" w:rsidRDefault="005A5C62">
            <w:pPr>
              <w:spacing w:after="0" w:line="240" w:lineRule="auto"/>
              <w:rPr>
                <w:rFonts w:ascii="Arial" w:hAnsi="Arial" w:cs="Arial"/>
                <w:b/>
                <w:sz w:val="20"/>
                <w:szCs w:val="20"/>
              </w:rPr>
            </w:pPr>
            <w:r>
              <w:rPr>
                <w:rFonts w:ascii="Arial" w:hAnsi="Arial" w:cs="Arial"/>
                <w:b/>
                <w:sz w:val="20"/>
                <w:szCs w:val="20"/>
              </w:rPr>
              <w:t>What is the evidence and rationale for this choice?</w:t>
            </w:r>
          </w:p>
        </w:tc>
        <w:tc>
          <w:tcPr>
            <w:tcW w:w="3260" w:type="dxa"/>
            <w:gridSpan w:val="3"/>
            <w:shd w:val="clear" w:color="auto" w:fill="auto"/>
            <w:tcMar>
              <w:top w:w="57" w:type="dxa"/>
              <w:left w:w="108" w:type="dxa"/>
              <w:bottom w:w="57" w:type="dxa"/>
            </w:tcMar>
          </w:tcPr>
          <w:p w14:paraId="530D18DD" w14:textId="77777777" w:rsidR="00751EAB" w:rsidRDefault="005A5C62">
            <w:pPr>
              <w:spacing w:after="0" w:line="240" w:lineRule="auto"/>
              <w:rPr>
                <w:rFonts w:ascii="Arial" w:hAnsi="Arial" w:cs="Arial"/>
                <w:b/>
                <w:sz w:val="20"/>
                <w:szCs w:val="20"/>
              </w:rPr>
            </w:pPr>
            <w:r>
              <w:rPr>
                <w:rFonts w:ascii="Arial" w:hAnsi="Arial" w:cs="Arial"/>
                <w:b/>
                <w:sz w:val="20"/>
                <w:szCs w:val="20"/>
              </w:rPr>
              <w:t>How will you ensure it is implemented well?</w:t>
            </w:r>
          </w:p>
        </w:tc>
        <w:tc>
          <w:tcPr>
            <w:tcW w:w="1276" w:type="dxa"/>
            <w:shd w:val="clear" w:color="auto" w:fill="auto"/>
            <w:tcMar>
              <w:top w:w="57" w:type="dxa"/>
              <w:left w:w="108" w:type="dxa"/>
              <w:bottom w:w="57" w:type="dxa"/>
            </w:tcMar>
          </w:tcPr>
          <w:p w14:paraId="387FA63C" w14:textId="77777777" w:rsidR="00751EAB" w:rsidRDefault="005A5C62">
            <w:pPr>
              <w:spacing w:after="0" w:line="240" w:lineRule="auto"/>
              <w:rPr>
                <w:rFonts w:ascii="Arial" w:hAnsi="Arial" w:cs="Arial"/>
                <w:b/>
                <w:sz w:val="20"/>
                <w:szCs w:val="20"/>
              </w:rPr>
            </w:pPr>
            <w:r>
              <w:rPr>
                <w:rFonts w:ascii="Arial" w:hAnsi="Arial" w:cs="Arial"/>
                <w:b/>
                <w:sz w:val="20"/>
                <w:szCs w:val="20"/>
              </w:rPr>
              <w:t>Staff lead</w:t>
            </w:r>
          </w:p>
        </w:tc>
        <w:tc>
          <w:tcPr>
            <w:tcW w:w="1984" w:type="dxa"/>
            <w:shd w:val="clear" w:color="auto" w:fill="auto"/>
            <w:tcMar>
              <w:top w:w="57" w:type="dxa"/>
              <w:bottom w:w="57" w:type="dxa"/>
            </w:tcMar>
          </w:tcPr>
          <w:p w14:paraId="14191E5F" w14:textId="77777777" w:rsidR="00751EAB" w:rsidRDefault="005A5C62">
            <w:pPr>
              <w:spacing w:after="0" w:line="240" w:lineRule="auto"/>
              <w:rPr>
                <w:rFonts w:ascii="Arial" w:hAnsi="Arial" w:cs="Arial"/>
                <w:b/>
                <w:sz w:val="20"/>
                <w:szCs w:val="20"/>
              </w:rPr>
            </w:pPr>
            <w:r>
              <w:rPr>
                <w:rFonts w:ascii="Arial" w:hAnsi="Arial" w:cs="Arial"/>
                <w:b/>
                <w:sz w:val="20"/>
                <w:szCs w:val="20"/>
              </w:rPr>
              <w:t>When will you review implementation?</w:t>
            </w:r>
          </w:p>
        </w:tc>
      </w:tr>
      <w:tr w:rsidR="00751EAB" w14:paraId="1D3AA9F6" w14:textId="77777777" w:rsidTr="00454CEB">
        <w:trPr>
          <w:trHeight w:val="289"/>
        </w:trPr>
        <w:tc>
          <w:tcPr>
            <w:tcW w:w="2236" w:type="dxa"/>
            <w:gridSpan w:val="3"/>
            <w:shd w:val="clear" w:color="auto" w:fill="auto"/>
            <w:tcMar>
              <w:top w:w="57" w:type="dxa"/>
              <w:left w:w="108" w:type="dxa"/>
              <w:bottom w:w="57" w:type="dxa"/>
            </w:tcMar>
          </w:tcPr>
          <w:p w14:paraId="294B5176" w14:textId="77777777" w:rsidR="00751EAB" w:rsidRDefault="005A5C62">
            <w:pPr>
              <w:pStyle w:val="Default"/>
              <w:rPr>
                <w:rFonts w:ascii="Century Gothic" w:hAnsi="Century Gothic"/>
                <w:sz w:val="16"/>
                <w:szCs w:val="16"/>
              </w:rPr>
            </w:pPr>
            <w:r>
              <w:rPr>
                <w:rFonts w:ascii="Century Gothic" w:hAnsi="Century Gothic"/>
                <w:sz w:val="16"/>
                <w:szCs w:val="16"/>
              </w:rPr>
              <w:t xml:space="preserve">Improve understanding and language acquisition within the Foundation age pupils, measured by assessments and observation </w:t>
            </w:r>
          </w:p>
          <w:p w14:paraId="4980EC1D" w14:textId="77777777" w:rsidR="00751EAB" w:rsidRDefault="00751EAB">
            <w:pPr>
              <w:spacing w:after="0"/>
              <w:rPr>
                <w:rFonts w:ascii="Century Gothic" w:hAnsi="Century Gothic" w:cs="Arial"/>
                <w:b/>
                <w:sz w:val="16"/>
                <w:szCs w:val="16"/>
              </w:rPr>
            </w:pPr>
          </w:p>
        </w:tc>
        <w:tc>
          <w:tcPr>
            <w:tcW w:w="2409" w:type="dxa"/>
            <w:gridSpan w:val="3"/>
            <w:shd w:val="clear" w:color="auto" w:fill="auto"/>
            <w:tcMar>
              <w:top w:w="57" w:type="dxa"/>
              <w:left w:w="108" w:type="dxa"/>
              <w:bottom w:w="57" w:type="dxa"/>
            </w:tcMar>
          </w:tcPr>
          <w:p w14:paraId="71EF02FA" w14:textId="77777777" w:rsidR="00751EAB" w:rsidRDefault="005A5C62">
            <w:pPr>
              <w:pStyle w:val="Default"/>
              <w:rPr>
                <w:rFonts w:ascii="Century Gothic" w:hAnsi="Century Gothic"/>
                <w:sz w:val="16"/>
                <w:szCs w:val="16"/>
              </w:rPr>
            </w:pPr>
            <w:r>
              <w:rPr>
                <w:rFonts w:ascii="Century Gothic" w:hAnsi="Century Gothic"/>
                <w:sz w:val="16"/>
                <w:szCs w:val="16"/>
              </w:rPr>
              <w:t>Review the texts available to ensure there is adequate numbers of texts exposing children to repetition, rich vocab alongside phonetically decodable texts in line with Letters and Sounds programme. (Make more effective use of new school resources: P</w:t>
            </w:r>
            <w:r w:rsidR="004439F5">
              <w:rPr>
                <w:rFonts w:ascii="Century Gothic" w:hAnsi="Century Gothic"/>
                <w:sz w:val="16"/>
                <w:szCs w:val="16"/>
              </w:rPr>
              <w:t>roject X, New ORT phonics books, Library resources</w:t>
            </w:r>
            <w:r w:rsidR="00964E9C">
              <w:rPr>
                <w:rFonts w:ascii="Century Gothic" w:hAnsi="Century Gothic"/>
                <w:sz w:val="16"/>
                <w:szCs w:val="16"/>
              </w:rPr>
              <w:t>)</w:t>
            </w:r>
          </w:p>
          <w:p w14:paraId="795226FB" w14:textId="77777777" w:rsidR="00254233" w:rsidRDefault="00254233">
            <w:pPr>
              <w:pStyle w:val="Default"/>
              <w:rPr>
                <w:rFonts w:ascii="Century Gothic" w:hAnsi="Century Gothic"/>
                <w:sz w:val="16"/>
                <w:szCs w:val="16"/>
              </w:rPr>
            </w:pPr>
          </w:p>
          <w:p w14:paraId="5FAE5641" w14:textId="77777777" w:rsidR="00964E9C" w:rsidRDefault="00964E9C">
            <w:pPr>
              <w:pStyle w:val="Default"/>
              <w:rPr>
                <w:rFonts w:ascii="Century Gothic" w:hAnsi="Century Gothic"/>
                <w:sz w:val="16"/>
                <w:szCs w:val="16"/>
              </w:rPr>
            </w:pPr>
            <w:r>
              <w:rPr>
                <w:rFonts w:ascii="Century Gothic" w:hAnsi="Century Gothic"/>
                <w:sz w:val="16"/>
                <w:szCs w:val="16"/>
              </w:rPr>
              <w:t>To continue using oral story</w:t>
            </w:r>
            <w:r w:rsidR="009B1E5B">
              <w:rPr>
                <w:rFonts w:ascii="Century Gothic" w:hAnsi="Century Gothic"/>
                <w:sz w:val="16"/>
                <w:szCs w:val="16"/>
              </w:rPr>
              <w:t>-</w:t>
            </w:r>
            <w:r>
              <w:rPr>
                <w:rFonts w:ascii="Century Gothic" w:hAnsi="Century Gothic"/>
                <w:sz w:val="16"/>
                <w:szCs w:val="16"/>
              </w:rPr>
              <w:t xml:space="preserve"> telling and dedicated speaking and listening time.</w:t>
            </w:r>
          </w:p>
          <w:p w14:paraId="3E2FEB2F" w14:textId="77777777" w:rsidR="00964E9C" w:rsidRDefault="00964E9C">
            <w:pPr>
              <w:pStyle w:val="Default"/>
              <w:rPr>
                <w:rFonts w:ascii="Century Gothic" w:hAnsi="Century Gothic"/>
                <w:sz w:val="16"/>
                <w:szCs w:val="16"/>
              </w:rPr>
            </w:pPr>
          </w:p>
          <w:p w14:paraId="4F5E2F4F" w14:textId="77777777" w:rsidR="00964E9C" w:rsidRDefault="00964E9C">
            <w:pPr>
              <w:pStyle w:val="Default"/>
              <w:rPr>
                <w:rFonts w:ascii="Century Gothic" w:hAnsi="Century Gothic"/>
                <w:sz w:val="16"/>
                <w:szCs w:val="16"/>
              </w:rPr>
            </w:pPr>
            <w:r>
              <w:rPr>
                <w:rFonts w:ascii="Century Gothic" w:hAnsi="Century Gothic"/>
                <w:sz w:val="16"/>
                <w:szCs w:val="16"/>
              </w:rPr>
              <w:t xml:space="preserve">To develop the class library </w:t>
            </w:r>
            <w:r w:rsidR="00912A40">
              <w:rPr>
                <w:rFonts w:ascii="Century Gothic" w:hAnsi="Century Gothic"/>
                <w:sz w:val="16"/>
                <w:szCs w:val="16"/>
              </w:rPr>
              <w:t>in line with the whole school drive for ‘Reading for Pleasure.’</w:t>
            </w:r>
          </w:p>
          <w:p w14:paraId="6B49BD3E" w14:textId="77777777" w:rsidR="00964E9C" w:rsidRDefault="00964E9C">
            <w:pPr>
              <w:pStyle w:val="Default"/>
              <w:rPr>
                <w:rFonts w:ascii="Century Gothic" w:hAnsi="Century Gothic"/>
                <w:sz w:val="16"/>
                <w:szCs w:val="16"/>
              </w:rPr>
            </w:pPr>
          </w:p>
          <w:p w14:paraId="06EDE1AC" w14:textId="77777777" w:rsidR="00964E9C" w:rsidRDefault="00964E9C">
            <w:pPr>
              <w:pStyle w:val="Default"/>
              <w:rPr>
                <w:rFonts w:ascii="Century Gothic" w:hAnsi="Century Gothic"/>
                <w:sz w:val="16"/>
                <w:szCs w:val="16"/>
              </w:rPr>
            </w:pPr>
          </w:p>
          <w:p w14:paraId="6EF7378F" w14:textId="77777777" w:rsidR="00964E9C" w:rsidRDefault="00964E9C">
            <w:pPr>
              <w:pStyle w:val="Default"/>
              <w:rPr>
                <w:rFonts w:ascii="Century Gothic" w:hAnsi="Century Gothic"/>
                <w:sz w:val="16"/>
                <w:szCs w:val="16"/>
              </w:rPr>
            </w:pPr>
          </w:p>
          <w:p w14:paraId="1D1B4C02" w14:textId="77777777" w:rsidR="00964E9C" w:rsidRDefault="00964E9C">
            <w:pPr>
              <w:pStyle w:val="Default"/>
              <w:rPr>
                <w:rFonts w:ascii="Century Gothic" w:hAnsi="Century Gothic"/>
                <w:sz w:val="16"/>
                <w:szCs w:val="16"/>
              </w:rPr>
            </w:pPr>
          </w:p>
          <w:p w14:paraId="3B3FA14C" w14:textId="77777777" w:rsidR="00254233" w:rsidRDefault="00254233">
            <w:pPr>
              <w:pStyle w:val="Default"/>
              <w:rPr>
                <w:rFonts w:ascii="Century Gothic" w:hAnsi="Century Gothic"/>
                <w:sz w:val="16"/>
                <w:szCs w:val="16"/>
              </w:rPr>
            </w:pPr>
          </w:p>
          <w:p w14:paraId="131BBFC5" w14:textId="77777777" w:rsidR="00254233" w:rsidRDefault="00254233">
            <w:pPr>
              <w:pStyle w:val="Default"/>
              <w:rPr>
                <w:rFonts w:ascii="Century Gothic" w:hAnsi="Century Gothic"/>
                <w:sz w:val="16"/>
                <w:szCs w:val="16"/>
              </w:rPr>
            </w:pPr>
          </w:p>
          <w:p w14:paraId="2A98B645" w14:textId="77777777" w:rsidR="00E03014" w:rsidRDefault="00E03014">
            <w:pPr>
              <w:pStyle w:val="Default"/>
              <w:rPr>
                <w:rFonts w:ascii="Century Gothic" w:hAnsi="Century Gothic"/>
                <w:sz w:val="16"/>
                <w:szCs w:val="16"/>
              </w:rPr>
            </w:pPr>
          </w:p>
        </w:tc>
        <w:tc>
          <w:tcPr>
            <w:tcW w:w="3827" w:type="dxa"/>
            <w:gridSpan w:val="6"/>
            <w:shd w:val="clear" w:color="auto" w:fill="auto"/>
            <w:tcMar>
              <w:top w:w="57" w:type="dxa"/>
              <w:left w:w="108" w:type="dxa"/>
              <w:bottom w:w="57" w:type="dxa"/>
            </w:tcMar>
          </w:tcPr>
          <w:p w14:paraId="3F953667" w14:textId="77777777" w:rsidR="00751EAB" w:rsidRDefault="005A5C62">
            <w:pPr>
              <w:pStyle w:val="Default"/>
              <w:rPr>
                <w:rFonts w:ascii="Century Gothic" w:hAnsi="Century Gothic"/>
                <w:sz w:val="16"/>
                <w:szCs w:val="16"/>
              </w:rPr>
            </w:pPr>
            <w:r>
              <w:rPr>
                <w:rFonts w:ascii="Century Gothic" w:hAnsi="Century Gothic"/>
                <w:sz w:val="16"/>
                <w:szCs w:val="16"/>
              </w:rPr>
              <w:lastRenderedPageBreak/>
              <w:t>Literature and sharing books has proven impact on the development of early language.</w:t>
            </w:r>
          </w:p>
          <w:p w14:paraId="5A54F63E" w14:textId="77777777" w:rsidR="00964E9C" w:rsidRDefault="00964E9C">
            <w:pPr>
              <w:pStyle w:val="Default"/>
              <w:rPr>
                <w:rFonts w:ascii="Century Gothic" w:hAnsi="Century Gothic"/>
                <w:sz w:val="16"/>
                <w:szCs w:val="16"/>
              </w:rPr>
            </w:pPr>
          </w:p>
          <w:p w14:paraId="087786C9" w14:textId="77777777" w:rsidR="00964E9C" w:rsidRDefault="00964E9C">
            <w:pPr>
              <w:pStyle w:val="Default"/>
              <w:rPr>
                <w:rFonts w:ascii="Century Gothic" w:hAnsi="Century Gothic"/>
                <w:sz w:val="16"/>
                <w:szCs w:val="16"/>
              </w:rPr>
            </w:pPr>
            <w:r>
              <w:rPr>
                <w:rFonts w:ascii="Century Gothic" w:hAnsi="Century Gothic"/>
                <w:sz w:val="16"/>
                <w:szCs w:val="16"/>
              </w:rPr>
              <w:t>Children will use the language they have learnt to support their own writing</w:t>
            </w:r>
          </w:p>
          <w:p w14:paraId="6C7A93D3" w14:textId="77777777" w:rsidR="00964E9C" w:rsidRDefault="00964E9C">
            <w:pPr>
              <w:pStyle w:val="Default"/>
              <w:rPr>
                <w:rFonts w:ascii="Century Gothic" w:hAnsi="Century Gothic"/>
                <w:sz w:val="16"/>
                <w:szCs w:val="16"/>
              </w:rPr>
            </w:pPr>
          </w:p>
          <w:p w14:paraId="3585F872" w14:textId="77777777" w:rsidR="00751EAB" w:rsidRDefault="005A5C62">
            <w:pPr>
              <w:pStyle w:val="Default"/>
              <w:rPr>
                <w:rFonts w:ascii="Century Gothic" w:hAnsi="Century Gothic"/>
                <w:sz w:val="16"/>
                <w:szCs w:val="16"/>
              </w:rPr>
            </w:pPr>
            <w:r>
              <w:rPr>
                <w:rFonts w:ascii="Century Gothic" w:hAnsi="Century Gothic"/>
                <w:sz w:val="16"/>
                <w:szCs w:val="16"/>
              </w:rPr>
              <w:t>Structured approach to phonics has proved successful in early reading strategies.</w:t>
            </w:r>
          </w:p>
          <w:p w14:paraId="6F98EB61" w14:textId="77777777" w:rsidR="00964E9C" w:rsidRDefault="00964E9C">
            <w:pPr>
              <w:pStyle w:val="Default"/>
              <w:rPr>
                <w:rFonts w:ascii="Century Gothic" w:hAnsi="Century Gothic"/>
                <w:sz w:val="16"/>
                <w:szCs w:val="16"/>
              </w:rPr>
            </w:pPr>
          </w:p>
          <w:p w14:paraId="588ACA65" w14:textId="77777777" w:rsidR="00751EAB" w:rsidRDefault="005A5C62">
            <w:pPr>
              <w:pStyle w:val="Default"/>
              <w:rPr>
                <w:rFonts w:ascii="Century Gothic" w:hAnsi="Century Gothic"/>
                <w:sz w:val="16"/>
                <w:szCs w:val="16"/>
              </w:rPr>
            </w:pPr>
            <w:r>
              <w:rPr>
                <w:rFonts w:ascii="Century Gothic" w:hAnsi="Century Gothic"/>
                <w:sz w:val="16"/>
                <w:szCs w:val="16"/>
              </w:rPr>
              <w:t>New phonic strategies and smaller groupings for ses</w:t>
            </w:r>
            <w:r w:rsidR="00656127">
              <w:rPr>
                <w:rFonts w:ascii="Century Gothic" w:hAnsi="Century Gothic"/>
                <w:sz w:val="16"/>
                <w:szCs w:val="16"/>
              </w:rPr>
              <w:t>sions enabling children to</w:t>
            </w:r>
            <w:r w:rsidR="00964E9C">
              <w:rPr>
                <w:rFonts w:ascii="Century Gothic" w:hAnsi="Century Gothic"/>
                <w:sz w:val="16"/>
                <w:szCs w:val="16"/>
              </w:rPr>
              <w:t xml:space="preserve"> have access to personalised learning groups</w:t>
            </w:r>
          </w:p>
          <w:p w14:paraId="5F835CBB" w14:textId="77777777" w:rsidR="00751EAB" w:rsidRDefault="00751EAB">
            <w:pPr>
              <w:pStyle w:val="Default"/>
              <w:rPr>
                <w:rFonts w:ascii="Century Gothic" w:hAnsi="Century Gothic"/>
                <w:sz w:val="16"/>
                <w:szCs w:val="16"/>
              </w:rPr>
            </w:pPr>
          </w:p>
        </w:tc>
        <w:tc>
          <w:tcPr>
            <w:tcW w:w="3260" w:type="dxa"/>
            <w:gridSpan w:val="3"/>
            <w:shd w:val="clear" w:color="auto" w:fill="auto"/>
            <w:tcMar>
              <w:top w:w="57" w:type="dxa"/>
              <w:left w:w="108" w:type="dxa"/>
              <w:bottom w:w="57" w:type="dxa"/>
            </w:tcMar>
          </w:tcPr>
          <w:p w14:paraId="4D895C2E" w14:textId="77777777" w:rsidR="00751EAB" w:rsidRDefault="005A5C62">
            <w:pPr>
              <w:pStyle w:val="Default"/>
              <w:rPr>
                <w:rFonts w:ascii="Century Gothic" w:hAnsi="Century Gothic"/>
                <w:sz w:val="16"/>
                <w:szCs w:val="16"/>
              </w:rPr>
            </w:pPr>
            <w:r>
              <w:rPr>
                <w:rFonts w:ascii="Century Gothic" w:hAnsi="Century Gothic"/>
                <w:sz w:val="16"/>
                <w:szCs w:val="16"/>
              </w:rPr>
              <w:t xml:space="preserve">Monitoring and tracking of key group </w:t>
            </w:r>
          </w:p>
          <w:p w14:paraId="29A24048" w14:textId="77777777" w:rsidR="00964E9C" w:rsidRDefault="005A5C62">
            <w:pPr>
              <w:pStyle w:val="Default"/>
              <w:rPr>
                <w:rFonts w:ascii="Century Gothic" w:hAnsi="Century Gothic"/>
                <w:sz w:val="16"/>
                <w:szCs w:val="16"/>
              </w:rPr>
            </w:pPr>
            <w:r>
              <w:rPr>
                <w:rFonts w:ascii="Century Gothic" w:hAnsi="Century Gothic"/>
                <w:sz w:val="16"/>
                <w:szCs w:val="16"/>
              </w:rPr>
              <w:t xml:space="preserve">engagement with the texts and pupil feedback. </w:t>
            </w:r>
          </w:p>
          <w:p w14:paraId="5088CF64" w14:textId="77777777" w:rsidR="00964E9C" w:rsidRDefault="00964E9C">
            <w:pPr>
              <w:pStyle w:val="Default"/>
              <w:rPr>
                <w:rFonts w:ascii="Century Gothic" w:hAnsi="Century Gothic"/>
                <w:sz w:val="16"/>
                <w:szCs w:val="16"/>
              </w:rPr>
            </w:pPr>
          </w:p>
          <w:p w14:paraId="2B8902E0" w14:textId="77777777" w:rsidR="00912A40" w:rsidRDefault="00912A40">
            <w:pPr>
              <w:pStyle w:val="Default"/>
              <w:rPr>
                <w:rFonts w:ascii="Century Gothic" w:hAnsi="Century Gothic"/>
                <w:sz w:val="16"/>
                <w:szCs w:val="16"/>
              </w:rPr>
            </w:pPr>
            <w:r>
              <w:rPr>
                <w:rFonts w:ascii="Century Gothic" w:hAnsi="Century Gothic"/>
                <w:sz w:val="16"/>
                <w:szCs w:val="16"/>
              </w:rPr>
              <w:t>Pupil progress meetings</w:t>
            </w:r>
          </w:p>
          <w:p w14:paraId="42401328" w14:textId="77777777" w:rsidR="00912A40" w:rsidRDefault="00912A40">
            <w:pPr>
              <w:pStyle w:val="Default"/>
              <w:rPr>
                <w:rFonts w:ascii="Century Gothic" w:hAnsi="Century Gothic"/>
                <w:sz w:val="16"/>
                <w:szCs w:val="16"/>
              </w:rPr>
            </w:pPr>
          </w:p>
          <w:p w14:paraId="2F2BBFD2" w14:textId="77777777" w:rsidR="00912A40" w:rsidRDefault="00912A40">
            <w:pPr>
              <w:pStyle w:val="Default"/>
              <w:rPr>
                <w:rFonts w:ascii="Century Gothic" w:hAnsi="Century Gothic"/>
                <w:sz w:val="16"/>
                <w:szCs w:val="16"/>
              </w:rPr>
            </w:pPr>
            <w:r>
              <w:rPr>
                <w:rFonts w:ascii="Century Gothic" w:hAnsi="Century Gothic"/>
                <w:sz w:val="16"/>
                <w:szCs w:val="16"/>
              </w:rPr>
              <w:t>Learning walks and observations</w:t>
            </w:r>
          </w:p>
          <w:p w14:paraId="3C6AB068" w14:textId="77777777" w:rsidR="00912A40" w:rsidRDefault="00912A40">
            <w:pPr>
              <w:pStyle w:val="Default"/>
              <w:rPr>
                <w:rFonts w:ascii="Century Gothic" w:hAnsi="Century Gothic"/>
                <w:sz w:val="16"/>
                <w:szCs w:val="16"/>
              </w:rPr>
            </w:pPr>
          </w:p>
          <w:p w14:paraId="63FE6CCE" w14:textId="77777777" w:rsidR="00751EAB" w:rsidRDefault="005A5C62">
            <w:pPr>
              <w:pStyle w:val="Default"/>
              <w:rPr>
                <w:rFonts w:ascii="Century Gothic" w:hAnsi="Century Gothic"/>
                <w:sz w:val="16"/>
                <w:szCs w:val="16"/>
              </w:rPr>
            </w:pPr>
            <w:r>
              <w:rPr>
                <w:rFonts w:ascii="Century Gothic" w:hAnsi="Century Gothic"/>
                <w:sz w:val="16"/>
                <w:szCs w:val="16"/>
              </w:rPr>
              <w:t>Assessment and observational data.</w:t>
            </w:r>
          </w:p>
        </w:tc>
        <w:tc>
          <w:tcPr>
            <w:tcW w:w="1276" w:type="dxa"/>
            <w:shd w:val="clear" w:color="auto" w:fill="auto"/>
            <w:tcMar>
              <w:top w:w="57" w:type="dxa"/>
              <w:left w:w="108" w:type="dxa"/>
              <w:bottom w:w="57" w:type="dxa"/>
            </w:tcMar>
          </w:tcPr>
          <w:p w14:paraId="32A111AC" w14:textId="77777777" w:rsidR="00751EAB" w:rsidRDefault="005A5C62">
            <w:pPr>
              <w:spacing w:after="0" w:line="240" w:lineRule="auto"/>
              <w:rPr>
                <w:rFonts w:ascii="Century Gothic" w:hAnsi="Century Gothic" w:cs="Arial"/>
                <w:b/>
                <w:sz w:val="16"/>
                <w:szCs w:val="16"/>
              </w:rPr>
            </w:pPr>
            <w:r>
              <w:rPr>
                <w:rFonts w:ascii="Century Gothic" w:hAnsi="Century Gothic" w:cs="Arial"/>
                <w:b/>
                <w:sz w:val="16"/>
                <w:szCs w:val="16"/>
              </w:rPr>
              <w:t>Jane Ashcroft</w:t>
            </w:r>
          </w:p>
          <w:p w14:paraId="682FD078" w14:textId="77777777" w:rsidR="00751EAB" w:rsidRDefault="00751EAB">
            <w:pPr>
              <w:spacing w:after="0" w:line="240" w:lineRule="auto"/>
              <w:rPr>
                <w:rFonts w:ascii="Century Gothic" w:hAnsi="Century Gothic" w:cs="Arial"/>
                <w:b/>
                <w:sz w:val="16"/>
                <w:szCs w:val="16"/>
              </w:rPr>
            </w:pPr>
          </w:p>
          <w:p w14:paraId="0D5D7565" w14:textId="77777777" w:rsidR="00751EAB" w:rsidRDefault="004439F5">
            <w:pPr>
              <w:spacing w:after="0" w:line="240" w:lineRule="auto"/>
              <w:rPr>
                <w:rFonts w:ascii="Century Gothic" w:hAnsi="Century Gothic" w:cs="Arial"/>
                <w:b/>
                <w:sz w:val="16"/>
                <w:szCs w:val="16"/>
              </w:rPr>
            </w:pPr>
            <w:r>
              <w:rPr>
                <w:rFonts w:ascii="Century Gothic" w:hAnsi="Century Gothic" w:cs="Arial"/>
                <w:b/>
                <w:sz w:val="16"/>
                <w:szCs w:val="16"/>
              </w:rPr>
              <w:t>Helen Slocombe</w:t>
            </w:r>
          </w:p>
          <w:p w14:paraId="556D6973" w14:textId="77777777" w:rsidR="00751EAB" w:rsidRDefault="00751EAB">
            <w:pPr>
              <w:spacing w:after="0" w:line="240" w:lineRule="auto"/>
              <w:rPr>
                <w:rFonts w:ascii="Century Gothic" w:hAnsi="Century Gothic" w:cs="Arial"/>
                <w:b/>
                <w:sz w:val="16"/>
                <w:szCs w:val="16"/>
              </w:rPr>
            </w:pPr>
          </w:p>
        </w:tc>
        <w:tc>
          <w:tcPr>
            <w:tcW w:w="1984" w:type="dxa"/>
            <w:shd w:val="clear" w:color="auto" w:fill="auto"/>
            <w:tcMar>
              <w:top w:w="57" w:type="dxa"/>
              <w:bottom w:w="57" w:type="dxa"/>
            </w:tcMar>
          </w:tcPr>
          <w:p w14:paraId="61733EBC" w14:textId="77777777" w:rsidR="00751EAB" w:rsidRDefault="00A804E2">
            <w:pPr>
              <w:pStyle w:val="Default"/>
              <w:rPr>
                <w:rFonts w:ascii="Century Gothic" w:hAnsi="Century Gothic"/>
                <w:sz w:val="16"/>
                <w:szCs w:val="16"/>
              </w:rPr>
            </w:pPr>
            <w:r>
              <w:rPr>
                <w:rFonts w:ascii="Century Gothic" w:hAnsi="Century Gothic"/>
                <w:sz w:val="16"/>
                <w:szCs w:val="16"/>
              </w:rPr>
              <w:t>Feb</w:t>
            </w:r>
            <w:r w:rsidR="00964E9C">
              <w:rPr>
                <w:rFonts w:ascii="Century Gothic" w:hAnsi="Century Gothic"/>
                <w:sz w:val="16"/>
                <w:szCs w:val="16"/>
              </w:rPr>
              <w:t>ruary</w:t>
            </w:r>
            <w:r>
              <w:rPr>
                <w:rFonts w:ascii="Century Gothic" w:hAnsi="Century Gothic"/>
                <w:sz w:val="16"/>
                <w:szCs w:val="16"/>
              </w:rPr>
              <w:t xml:space="preserve">  20</w:t>
            </w:r>
            <w:r w:rsidR="004439F5">
              <w:rPr>
                <w:rFonts w:ascii="Century Gothic" w:hAnsi="Century Gothic"/>
                <w:sz w:val="16"/>
                <w:szCs w:val="16"/>
              </w:rPr>
              <w:t>20</w:t>
            </w:r>
          </w:p>
        </w:tc>
      </w:tr>
      <w:tr w:rsidR="00751EAB" w14:paraId="6F66F475" w14:textId="77777777" w:rsidTr="00454CEB">
        <w:trPr>
          <w:trHeight w:hRule="exact" w:val="2726"/>
        </w:trPr>
        <w:tc>
          <w:tcPr>
            <w:tcW w:w="2236" w:type="dxa"/>
            <w:gridSpan w:val="3"/>
            <w:shd w:val="clear" w:color="auto" w:fill="auto"/>
            <w:tcMar>
              <w:top w:w="57" w:type="dxa"/>
              <w:left w:w="108" w:type="dxa"/>
              <w:bottom w:w="57" w:type="dxa"/>
            </w:tcMar>
          </w:tcPr>
          <w:p w14:paraId="6E96F8EA" w14:textId="77777777" w:rsidR="00751EAB" w:rsidRDefault="005A5C62">
            <w:pPr>
              <w:pStyle w:val="Default"/>
              <w:rPr>
                <w:rFonts w:ascii="Century Gothic" w:hAnsi="Century Gothic"/>
                <w:sz w:val="16"/>
                <w:szCs w:val="16"/>
              </w:rPr>
            </w:pPr>
            <w:r>
              <w:rPr>
                <w:rFonts w:ascii="Century Gothic" w:hAnsi="Century Gothic"/>
                <w:sz w:val="16"/>
                <w:szCs w:val="16"/>
              </w:rPr>
              <w:t xml:space="preserve">The aspirations, confidence and self-belief of pupils identified as eligible will improve and increase as evidenced in increased contributions within the classroom, pupil and parental voice and feedback </w:t>
            </w:r>
          </w:p>
          <w:p w14:paraId="30D80BD7" w14:textId="77777777" w:rsidR="00751EAB" w:rsidRDefault="00751EAB">
            <w:pPr>
              <w:spacing w:after="0"/>
              <w:rPr>
                <w:rFonts w:ascii="Century Gothic" w:hAnsi="Century Gothic" w:cs="Arial"/>
                <w:sz w:val="16"/>
                <w:szCs w:val="16"/>
                <w:highlight w:val="yellow"/>
              </w:rPr>
            </w:pPr>
          </w:p>
          <w:p w14:paraId="6B4B010F" w14:textId="77777777" w:rsidR="00A804E2" w:rsidRDefault="00A804E2">
            <w:pPr>
              <w:spacing w:after="0"/>
              <w:rPr>
                <w:rFonts w:ascii="Century Gothic" w:hAnsi="Century Gothic" w:cs="Arial"/>
                <w:sz w:val="16"/>
                <w:szCs w:val="16"/>
                <w:highlight w:val="yellow"/>
              </w:rPr>
            </w:pPr>
          </w:p>
          <w:p w14:paraId="37748101" w14:textId="77777777" w:rsidR="00A804E2" w:rsidRDefault="00A804E2">
            <w:pPr>
              <w:spacing w:after="0"/>
              <w:rPr>
                <w:rFonts w:ascii="Century Gothic" w:hAnsi="Century Gothic" w:cs="Arial"/>
                <w:sz w:val="16"/>
                <w:szCs w:val="16"/>
                <w:highlight w:val="yellow"/>
              </w:rPr>
            </w:pPr>
          </w:p>
          <w:p w14:paraId="0B85D437" w14:textId="77777777" w:rsidR="00A804E2" w:rsidRDefault="00A804E2">
            <w:pPr>
              <w:spacing w:after="0"/>
              <w:rPr>
                <w:rFonts w:ascii="Century Gothic" w:hAnsi="Century Gothic" w:cs="Arial"/>
                <w:sz w:val="16"/>
                <w:szCs w:val="16"/>
                <w:highlight w:val="yellow"/>
              </w:rPr>
            </w:pPr>
          </w:p>
          <w:p w14:paraId="282AF515" w14:textId="77777777" w:rsidR="00A804E2" w:rsidRDefault="00A804E2">
            <w:pPr>
              <w:spacing w:after="0"/>
              <w:rPr>
                <w:rFonts w:ascii="Century Gothic" w:hAnsi="Century Gothic" w:cs="Arial"/>
                <w:sz w:val="16"/>
                <w:szCs w:val="16"/>
                <w:highlight w:val="yellow"/>
              </w:rPr>
            </w:pPr>
          </w:p>
          <w:p w14:paraId="1308FBD3" w14:textId="77777777" w:rsidR="00A804E2" w:rsidRDefault="00A804E2">
            <w:pPr>
              <w:spacing w:after="0"/>
              <w:rPr>
                <w:rFonts w:ascii="Century Gothic" w:hAnsi="Century Gothic" w:cs="Arial"/>
                <w:sz w:val="16"/>
                <w:szCs w:val="16"/>
                <w:highlight w:val="yellow"/>
              </w:rPr>
            </w:pPr>
          </w:p>
        </w:tc>
        <w:tc>
          <w:tcPr>
            <w:tcW w:w="2409" w:type="dxa"/>
            <w:gridSpan w:val="3"/>
            <w:shd w:val="clear" w:color="auto" w:fill="auto"/>
            <w:tcMar>
              <w:top w:w="57" w:type="dxa"/>
              <w:left w:w="108" w:type="dxa"/>
              <w:bottom w:w="57" w:type="dxa"/>
            </w:tcMar>
          </w:tcPr>
          <w:p w14:paraId="5AB19548" w14:textId="77777777" w:rsidR="00751EAB" w:rsidRDefault="005A5C62">
            <w:pPr>
              <w:pStyle w:val="Default"/>
              <w:rPr>
                <w:rFonts w:ascii="Century Gothic" w:hAnsi="Century Gothic"/>
                <w:sz w:val="16"/>
                <w:szCs w:val="16"/>
              </w:rPr>
            </w:pPr>
            <w:r>
              <w:rPr>
                <w:rFonts w:ascii="Century Gothic" w:hAnsi="Century Gothic"/>
                <w:sz w:val="16"/>
                <w:szCs w:val="16"/>
              </w:rPr>
              <w:t>Increase exposure to professionals and enrichment activities across the curriculum  ( e.g. visiting authors,</w:t>
            </w:r>
            <w:r w:rsidR="004439F5">
              <w:rPr>
                <w:rFonts w:ascii="Century Gothic" w:hAnsi="Century Gothic"/>
                <w:sz w:val="16"/>
                <w:szCs w:val="16"/>
              </w:rPr>
              <w:t xml:space="preserve"> trips, sporting opportunities, growth mindset displays and activities, assemblies</w:t>
            </w:r>
            <w:r>
              <w:rPr>
                <w:rFonts w:ascii="Century Gothic" w:hAnsi="Century Gothic"/>
                <w:sz w:val="16"/>
                <w:szCs w:val="16"/>
              </w:rPr>
              <w:t xml:space="preserve"> careers talks for Y6)</w:t>
            </w:r>
          </w:p>
          <w:p w14:paraId="69B8DDDF" w14:textId="77777777" w:rsidR="00751EAB" w:rsidRDefault="005A5C62">
            <w:pPr>
              <w:spacing w:after="0"/>
              <w:rPr>
                <w:rFonts w:ascii="Century Gothic" w:hAnsi="Century Gothic"/>
                <w:sz w:val="16"/>
                <w:szCs w:val="16"/>
              </w:rPr>
            </w:pPr>
            <w:r>
              <w:rPr>
                <w:rFonts w:ascii="Century Gothic" w:hAnsi="Century Gothic"/>
                <w:sz w:val="16"/>
                <w:szCs w:val="16"/>
              </w:rPr>
              <w:t>PSHE activities across the curriculum</w:t>
            </w:r>
            <w:r w:rsidR="004439F5">
              <w:rPr>
                <w:rFonts w:ascii="Century Gothic" w:hAnsi="Century Gothic"/>
                <w:sz w:val="16"/>
                <w:szCs w:val="16"/>
              </w:rPr>
              <w:t xml:space="preserve"> – Big Question</w:t>
            </w:r>
          </w:p>
          <w:p w14:paraId="7424915F" w14:textId="77777777" w:rsidR="00E03014" w:rsidRDefault="00E03014">
            <w:pPr>
              <w:spacing w:after="0"/>
              <w:rPr>
                <w:rFonts w:ascii="Century Gothic" w:hAnsi="Century Gothic"/>
                <w:sz w:val="16"/>
                <w:szCs w:val="16"/>
              </w:rPr>
            </w:pPr>
            <w:r>
              <w:rPr>
                <w:rFonts w:ascii="Century Gothic" w:hAnsi="Century Gothic"/>
                <w:sz w:val="16"/>
                <w:szCs w:val="16"/>
              </w:rPr>
              <w:t>Rainbow Sessions  - nurture sessions</w:t>
            </w:r>
          </w:p>
          <w:p w14:paraId="39E9CFCA" w14:textId="77777777" w:rsidR="00E03014" w:rsidRDefault="00E03014">
            <w:pPr>
              <w:spacing w:after="0"/>
              <w:rPr>
                <w:rFonts w:ascii="Century Gothic" w:hAnsi="Century Gothic" w:cs="Arial"/>
                <w:sz w:val="16"/>
                <w:szCs w:val="16"/>
              </w:rPr>
            </w:pPr>
          </w:p>
        </w:tc>
        <w:tc>
          <w:tcPr>
            <w:tcW w:w="3827" w:type="dxa"/>
            <w:gridSpan w:val="6"/>
            <w:shd w:val="clear" w:color="auto" w:fill="auto"/>
            <w:tcMar>
              <w:top w:w="57" w:type="dxa"/>
              <w:left w:w="108" w:type="dxa"/>
              <w:bottom w:w="57" w:type="dxa"/>
            </w:tcMar>
          </w:tcPr>
          <w:p w14:paraId="59D54FF9" w14:textId="77777777" w:rsidR="00751EAB" w:rsidRDefault="005A5C62">
            <w:pPr>
              <w:spacing w:after="0" w:line="240" w:lineRule="auto"/>
              <w:rPr>
                <w:rFonts w:ascii="Century Gothic" w:hAnsi="Century Gothic"/>
                <w:sz w:val="16"/>
                <w:szCs w:val="16"/>
              </w:rPr>
            </w:pPr>
            <w:r>
              <w:rPr>
                <w:rFonts w:ascii="Century Gothic" w:hAnsi="Century Gothic"/>
                <w:sz w:val="16"/>
                <w:szCs w:val="16"/>
              </w:rPr>
              <w:t>PSHE has had a proven impact on improving children’s self-belief and confidence.</w:t>
            </w:r>
          </w:p>
          <w:p w14:paraId="6769EA42" w14:textId="77777777" w:rsidR="00E03014" w:rsidRDefault="00E03014">
            <w:pPr>
              <w:spacing w:after="0" w:line="240" w:lineRule="auto"/>
              <w:rPr>
                <w:rFonts w:ascii="Century Gothic" w:hAnsi="Century Gothic"/>
                <w:sz w:val="16"/>
                <w:szCs w:val="16"/>
              </w:rPr>
            </w:pPr>
          </w:p>
          <w:p w14:paraId="654CC7E8" w14:textId="77777777" w:rsidR="00E03014" w:rsidRDefault="00E03014">
            <w:pPr>
              <w:spacing w:after="0" w:line="240" w:lineRule="auto"/>
              <w:rPr>
                <w:rFonts w:ascii="Century Gothic" w:hAnsi="Century Gothic"/>
                <w:sz w:val="16"/>
                <w:szCs w:val="16"/>
              </w:rPr>
            </w:pPr>
            <w:r>
              <w:rPr>
                <w:rFonts w:ascii="Century Gothic" w:hAnsi="Century Gothic"/>
                <w:sz w:val="16"/>
                <w:szCs w:val="16"/>
              </w:rPr>
              <w:t>Emotional well being and good mental health is c</w:t>
            </w:r>
            <w:r w:rsidR="009D079C">
              <w:rPr>
                <w:rFonts w:ascii="Century Gothic" w:hAnsi="Century Gothic"/>
                <w:sz w:val="16"/>
                <w:szCs w:val="16"/>
              </w:rPr>
              <w:t xml:space="preserve">rucial to pupils feeling </w:t>
            </w:r>
            <w:r>
              <w:rPr>
                <w:rFonts w:ascii="Century Gothic" w:hAnsi="Century Gothic"/>
                <w:sz w:val="16"/>
                <w:szCs w:val="16"/>
              </w:rPr>
              <w:t>safe and ready to learn.</w:t>
            </w:r>
          </w:p>
          <w:p w14:paraId="4D9DF8A1" w14:textId="77777777" w:rsidR="00E03014" w:rsidRDefault="00E03014">
            <w:pPr>
              <w:spacing w:after="0" w:line="240" w:lineRule="auto"/>
              <w:rPr>
                <w:rFonts w:ascii="Century Gothic" w:hAnsi="Century Gothic"/>
                <w:sz w:val="16"/>
                <w:szCs w:val="16"/>
              </w:rPr>
            </w:pPr>
          </w:p>
          <w:p w14:paraId="4058212A" w14:textId="77777777" w:rsidR="00E03014" w:rsidRDefault="00E03014">
            <w:pPr>
              <w:spacing w:after="0" w:line="240" w:lineRule="auto"/>
              <w:rPr>
                <w:rFonts w:ascii="Century Gothic" w:hAnsi="Century Gothic" w:cs="Arial"/>
                <w:sz w:val="16"/>
                <w:szCs w:val="16"/>
              </w:rPr>
            </w:pPr>
            <w:r>
              <w:rPr>
                <w:rFonts w:ascii="Century Gothic" w:hAnsi="Century Gothic"/>
                <w:sz w:val="16"/>
                <w:szCs w:val="16"/>
              </w:rPr>
              <w:t>National statistics show increase in number of children and young people experiencing mental health and emotional difficulties</w:t>
            </w:r>
          </w:p>
        </w:tc>
        <w:tc>
          <w:tcPr>
            <w:tcW w:w="3260" w:type="dxa"/>
            <w:gridSpan w:val="3"/>
            <w:shd w:val="clear" w:color="auto" w:fill="auto"/>
            <w:tcMar>
              <w:top w:w="57" w:type="dxa"/>
              <w:left w:w="108" w:type="dxa"/>
              <w:bottom w:w="57" w:type="dxa"/>
            </w:tcMar>
          </w:tcPr>
          <w:p w14:paraId="0FFD1896" w14:textId="77777777" w:rsidR="00751EAB" w:rsidRDefault="005A5C62">
            <w:pPr>
              <w:pStyle w:val="Default"/>
              <w:rPr>
                <w:rFonts w:ascii="Century Gothic" w:hAnsi="Century Gothic"/>
                <w:sz w:val="16"/>
                <w:szCs w:val="16"/>
              </w:rPr>
            </w:pPr>
            <w:r>
              <w:rPr>
                <w:rFonts w:ascii="Century Gothic" w:hAnsi="Century Gothic"/>
                <w:sz w:val="16"/>
                <w:szCs w:val="16"/>
              </w:rPr>
              <w:t xml:space="preserve">Drop- in observation of PSHE sessions </w:t>
            </w:r>
          </w:p>
          <w:p w14:paraId="7BA4DB2D" w14:textId="77777777" w:rsidR="00751EAB" w:rsidRDefault="005A5C62">
            <w:pPr>
              <w:pStyle w:val="Default"/>
              <w:rPr>
                <w:rFonts w:ascii="Century Gothic" w:hAnsi="Century Gothic"/>
                <w:sz w:val="16"/>
                <w:szCs w:val="16"/>
              </w:rPr>
            </w:pPr>
            <w:r>
              <w:rPr>
                <w:rFonts w:ascii="Century Gothic" w:hAnsi="Century Gothic"/>
                <w:sz w:val="16"/>
                <w:szCs w:val="16"/>
              </w:rPr>
              <w:t xml:space="preserve">Pupil voice informal and formally </w:t>
            </w:r>
          </w:p>
          <w:p w14:paraId="7E793F63" w14:textId="77777777" w:rsidR="00751EAB" w:rsidRDefault="005A5C62">
            <w:pPr>
              <w:pStyle w:val="Default"/>
              <w:rPr>
                <w:rFonts w:ascii="Century Gothic" w:hAnsi="Century Gothic"/>
                <w:sz w:val="16"/>
                <w:szCs w:val="16"/>
              </w:rPr>
            </w:pPr>
            <w:r>
              <w:rPr>
                <w:rFonts w:ascii="Century Gothic" w:hAnsi="Century Gothic"/>
                <w:sz w:val="16"/>
                <w:szCs w:val="16"/>
              </w:rPr>
              <w:t xml:space="preserve">Parental voice sought </w:t>
            </w:r>
          </w:p>
          <w:p w14:paraId="0C81A47E" w14:textId="77777777" w:rsidR="00751EAB" w:rsidRDefault="005A5C62">
            <w:pPr>
              <w:pStyle w:val="Default"/>
              <w:rPr>
                <w:rFonts w:ascii="Century Gothic" w:hAnsi="Century Gothic"/>
                <w:sz w:val="16"/>
                <w:szCs w:val="16"/>
              </w:rPr>
            </w:pPr>
            <w:r>
              <w:rPr>
                <w:rFonts w:ascii="Century Gothic" w:hAnsi="Century Gothic"/>
                <w:sz w:val="16"/>
                <w:szCs w:val="16"/>
              </w:rPr>
              <w:t xml:space="preserve">Effective communication, reassurance and encouragement from all staff. </w:t>
            </w:r>
          </w:p>
          <w:p w14:paraId="64901C0F" w14:textId="77777777" w:rsidR="00E03014" w:rsidRDefault="00E03014">
            <w:pPr>
              <w:pStyle w:val="Default"/>
              <w:rPr>
                <w:rFonts w:ascii="Century Gothic" w:hAnsi="Century Gothic"/>
                <w:sz w:val="16"/>
                <w:szCs w:val="16"/>
              </w:rPr>
            </w:pPr>
            <w:r>
              <w:rPr>
                <w:rFonts w:ascii="Century Gothic" w:hAnsi="Century Gothic"/>
                <w:sz w:val="16"/>
                <w:szCs w:val="16"/>
              </w:rPr>
              <w:t>Regular  timetabled rainbow sessions</w:t>
            </w:r>
          </w:p>
          <w:p w14:paraId="079164B0" w14:textId="77777777" w:rsidR="00751EAB" w:rsidRDefault="00751EAB">
            <w:pPr>
              <w:spacing w:after="0"/>
              <w:rPr>
                <w:rFonts w:ascii="Century Gothic" w:hAnsi="Century Gothic" w:cs="Arial"/>
                <w:sz w:val="16"/>
                <w:szCs w:val="16"/>
                <w:highlight w:val="yellow"/>
              </w:rPr>
            </w:pPr>
          </w:p>
        </w:tc>
        <w:tc>
          <w:tcPr>
            <w:tcW w:w="1276" w:type="dxa"/>
            <w:shd w:val="clear" w:color="auto" w:fill="auto"/>
            <w:tcMar>
              <w:top w:w="57" w:type="dxa"/>
              <w:left w:w="108" w:type="dxa"/>
              <w:bottom w:w="57" w:type="dxa"/>
            </w:tcMar>
          </w:tcPr>
          <w:p w14:paraId="6FD0635D" w14:textId="77777777" w:rsidR="00751EAB" w:rsidRDefault="005A5C62">
            <w:pPr>
              <w:spacing w:after="0" w:line="240" w:lineRule="auto"/>
              <w:rPr>
                <w:rFonts w:ascii="Century Gothic" w:hAnsi="Century Gothic" w:cs="Arial"/>
                <w:b/>
                <w:sz w:val="16"/>
                <w:szCs w:val="16"/>
              </w:rPr>
            </w:pPr>
            <w:r>
              <w:rPr>
                <w:rFonts w:ascii="Century Gothic" w:hAnsi="Century Gothic" w:cs="Arial"/>
                <w:b/>
                <w:sz w:val="16"/>
                <w:szCs w:val="16"/>
              </w:rPr>
              <w:t>Anne Hodgson</w:t>
            </w:r>
          </w:p>
          <w:p w14:paraId="2880E62A" w14:textId="77777777" w:rsidR="00751EAB" w:rsidRDefault="00751EAB">
            <w:pPr>
              <w:spacing w:after="0" w:line="240" w:lineRule="auto"/>
              <w:rPr>
                <w:rFonts w:ascii="Century Gothic" w:hAnsi="Century Gothic" w:cs="Arial"/>
                <w:b/>
                <w:sz w:val="16"/>
                <w:szCs w:val="16"/>
              </w:rPr>
            </w:pPr>
          </w:p>
          <w:p w14:paraId="740AAB00" w14:textId="77777777" w:rsidR="004439F5" w:rsidRDefault="004439F5">
            <w:pPr>
              <w:spacing w:after="0" w:line="240" w:lineRule="auto"/>
              <w:rPr>
                <w:rFonts w:ascii="Century Gothic" w:hAnsi="Century Gothic" w:cs="Arial"/>
                <w:sz w:val="16"/>
                <w:szCs w:val="16"/>
              </w:rPr>
            </w:pPr>
            <w:r>
              <w:rPr>
                <w:rFonts w:ascii="Century Gothic" w:hAnsi="Century Gothic" w:cs="Arial"/>
                <w:b/>
                <w:sz w:val="16"/>
                <w:szCs w:val="16"/>
              </w:rPr>
              <w:t>Helen Slocombe</w:t>
            </w:r>
          </w:p>
        </w:tc>
        <w:tc>
          <w:tcPr>
            <w:tcW w:w="1984" w:type="dxa"/>
            <w:shd w:val="clear" w:color="auto" w:fill="auto"/>
            <w:tcMar>
              <w:top w:w="57" w:type="dxa"/>
              <w:bottom w:w="57" w:type="dxa"/>
            </w:tcMar>
          </w:tcPr>
          <w:p w14:paraId="584F25B8" w14:textId="77777777" w:rsidR="00751EAB" w:rsidRDefault="00A804E2">
            <w:pPr>
              <w:spacing w:after="0" w:line="240" w:lineRule="auto"/>
              <w:rPr>
                <w:rFonts w:ascii="Century Gothic" w:hAnsi="Century Gothic" w:cs="Arial"/>
                <w:sz w:val="16"/>
                <w:szCs w:val="16"/>
              </w:rPr>
            </w:pPr>
            <w:r>
              <w:rPr>
                <w:rFonts w:ascii="Century Gothic" w:hAnsi="Century Gothic" w:cs="Arial"/>
                <w:sz w:val="16"/>
                <w:szCs w:val="16"/>
              </w:rPr>
              <w:t>February 20</w:t>
            </w:r>
            <w:r w:rsidR="004439F5">
              <w:rPr>
                <w:rFonts w:ascii="Century Gothic" w:hAnsi="Century Gothic" w:cs="Arial"/>
                <w:sz w:val="16"/>
                <w:szCs w:val="16"/>
              </w:rPr>
              <w:t>20</w:t>
            </w:r>
          </w:p>
        </w:tc>
      </w:tr>
      <w:tr w:rsidR="00751EAB" w14:paraId="03718D31" w14:textId="77777777" w:rsidTr="00454CEB">
        <w:trPr>
          <w:trHeight w:hRule="exact" w:val="312"/>
        </w:trPr>
        <w:tc>
          <w:tcPr>
            <w:tcW w:w="14992" w:type="dxa"/>
            <w:gridSpan w:val="17"/>
            <w:shd w:val="clear" w:color="auto" w:fill="auto"/>
            <w:tcMar>
              <w:top w:w="57" w:type="dxa"/>
              <w:left w:w="108" w:type="dxa"/>
              <w:bottom w:w="57" w:type="dxa"/>
            </w:tcMar>
          </w:tcPr>
          <w:p w14:paraId="5BBD2CEE" w14:textId="77777777" w:rsidR="00751EAB" w:rsidRDefault="005A5C62">
            <w:pPr>
              <w:pStyle w:val="ListParagraph"/>
              <w:numPr>
                <w:ilvl w:val="0"/>
                <w:numId w:val="1"/>
              </w:numPr>
              <w:ind w:left="426" w:hanging="142"/>
              <w:rPr>
                <w:rFonts w:ascii="Arial" w:hAnsi="Arial" w:cs="Arial"/>
                <w:b/>
              </w:rPr>
            </w:pPr>
            <w:r>
              <w:rPr>
                <w:rFonts w:ascii="Arial" w:hAnsi="Arial" w:cs="Arial"/>
                <w:b/>
              </w:rPr>
              <w:t>Targeted support</w:t>
            </w:r>
          </w:p>
        </w:tc>
      </w:tr>
      <w:tr w:rsidR="00751EAB" w14:paraId="12E5653E" w14:textId="77777777" w:rsidTr="00454CEB">
        <w:tc>
          <w:tcPr>
            <w:tcW w:w="2236" w:type="dxa"/>
            <w:gridSpan w:val="3"/>
            <w:shd w:val="clear" w:color="auto" w:fill="auto"/>
            <w:tcMar>
              <w:top w:w="57" w:type="dxa"/>
              <w:left w:w="108" w:type="dxa"/>
              <w:bottom w:w="57" w:type="dxa"/>
            </w:tcMar>
          </w:tcPr>
          <w:p w14:paraId="36424567" w14:textId="77777777" w:rsidR="00751EAB" w:rsidRDefault="005A5C62">
            <w:pPr>
              <w:spacing w:after="0" w:line="240" w:lineRule="auto"/>
              <w:rPr>
                <w:rFonts w:ascii="Century Gothic" w:hAnsi="Century Gothic" w:cs="Arial"/>
                <w:b/>
                <w:sz w:val="20"/>
                <w:szCs w:val="20"/>
              </w:rPr>
            </w:pPr>
            <w:r>
              <w:rPr>
                <w:rFonts w:ascii="Century Gothic" w:hAnsi="Century Gothic" w:cs="Arial"/>
                <w:b/>
                <w:sz w:val="20"/>
                <w:szCs w:val="20"/>
              </w:rPr>
              <w:t>Desired outcome</w:t>
            </w:r>
          </w:p>
        </w:tc>
        <w:tc>
          <w:tcPr>
            <w:tcW w:w="2409" w:type="dxa"/>
            <w:gridSpan w:val="3"/>
            <w:shd w:val="clear" w:color="auto" w:fill="auto"/>
            <w:tcMar>
              <w:top w:w="57" w:type="dxa"/>
              <w:left w:w="108" w:type="dxa"/>
              <w:bottom w:w="57" w:type="dxa"/>
            </w:tcMar>
          </w:tcPr>
          <w:p w14:paraId="276D4787" w14:textId="77777777" w:rsidR="00751EAB" w:rsidRDefault="005A5C62">
            <w:pPr>
              <w:spacing w:after="0" w:line="240" w:lineRule="auto"/>
              <w:rPr>
                <w:rFonts w:ascii="Century Gothic" w:hAnsi="Century Gothic" w:cs="Arial"/>
                <w:b/>
                <w:sz w:val="20"/>
                <w:szCs w:val="20"/>
              </w:rPr>
            </w:pPr>
            <w:r>
              <w:rPr>
                <w:rFonts w:ascii="Century Gothic" w:hAnsi="Century Gothic" w:cs="Arial"/>
                <w:b/>
                <w:sz w:val="20"/>
                <w:szCs w:val="20"/>
              </w:rPr>
              <w:t>Chosen action/approach</w:t>
            </w:r>
          </w:p>
        </w:tc>
        <w:tc>
          <w:tcPr>
            <w:tcW w:w="3827" w:type="dxa"/>
            <w:gridSpan w:val="6"/>
            <w:shd w:val="clear" w:color="auto" w:fill="auto"/>
            <w:tcMar>
              <w:top w:w="57" w:type="dxa"/>
              <w:left w:w="108" w:type="dxa"/>
              <w:bottom w:w="57" w:type="dxa"/>
            </w:tcMar>
          </w:tcPr>
          <w:p w14:paraId="265DC7FB" w14:textId="77777777" w:rsidR="00751EAB" w:rsidRDefault="005A5C62">
            <w:pPr>
              <w:spacing w:after="0" w:line="240" w:lineRule="auto"/>
              <w:rPr>
                <w:rFonts w:ascii="Century Gothic" w:hAnsi="Century Gothic" w:cs="Arial"/>
                <w:b/>
                <w:sz w:val="20"/>
                <w:szCs w:val="20"/>
              </w:rPr>
            </w:pPr>
            <w:r>
              <w:rPr>
                <w:rFonts w:ascii="Century Gothic" w:hAnsi="Century Gothic" w:cs="Arial"/>
                <w:b/>
                <w:sz w:val="20"/>
                <w:szCs w:val="20"/>
              </w:rPr>
              <w:t>What is the evidence and rationale for this choice?</w:t>
            </w:r>
          </w:p>
        </w:tc>
        <w:tc>
          <w:tcPr>
            <w:tcW w:w="3260" w:type="dxa"/>
            <w:gridSpan w:val="3"/>
            <w:shd w:val="clear" w:color="auto" w:fill="auto"/>
            <w:tcMar>
              <w:top w:w="57" w:type="dxa"/>
              <w:left w:w="108" w:type="dxa"/>
              <w:bottom w:w="57" w:type="dxa"/>
            </w:tcMar>
          </w:tcPr>
          <w:p w14:paraId="76CDBC06" w14:textId="77777777" w:rsidR="00751EAB" w:rsidRDefault="005A5C62">
            <w:pPr>
              <w:spacing w:after="0" w:line="240" w:lineRule="auto"/>
              <w:rPr>
                <w:rFonts w:ascii="Century Gothic" w:hAnsi="Century Gothic" w:cs="Arial"/>
                <w:b/>
                <w:sz w:val="20"/>
                <w:szCs w:val="20"/>
              </w:rPr>
            </w:pPr>
            <w:r>
              <w:rPr>
                <w:rFonts w:ascii="Century Gothic" w:hAnsi="Century Gothic" w:cs="Arial"/>
                <w:b/>
                <w:sz w:val="20"/>
                <w:szCs w:val="20"/>
              </w:rPr>
              <w:t>How will you ensure it is implemented well?</w:t>
            </w:r>
          </w:p>
        </w:tc>
        <w:tc>
          <w:tcPr>
            <w:tcW w:w="1276" w:type="dxa"/>
            <w:shd w:val="clear" w:color="auto" w:fill="auto"/>
            <w:tcMar>
              <w:top w:w="57" w:type="dxa"/>
              <w:left w:w="108" w:type="dxa"/>
              <w:bottom w:w="57" w:type="dxa"/>
            </w:tcMar>
          </w:tcPr>
          <w:p w14:paraId="4DB33C32" w14:textId="77777777" w:rsidR="00751EAB" w:rsidRDefault="005A5C62">
            <w:pPr>
              <w:spacing w:after="0" w:line="240" w:lineRule="auto"/>
              <w:rPr>
                <w:rFonts w:ascii="Century Gothic" w:hAnsi="Century Gothic" w:cs="Arial"/>
                <w:b/>
                <w:sz w:val="20"/>
                <w:szCs w:val="20"/>
              </w:rPr>
            </w:pPr>
            <w:r>
              <w:rPr>
                <w:rFonts w:ascii="Century Gothic" w:hAnsi="Century Gothic" w:cs="Arial"/>
                <w:b/>
                <w:sz w:val="20"/>
                <w:szCs w:val="20"/>
              </w:rPr>
              <w:t>Staff lead</w:t>
            </w:r>
          </w:p>
        </w:tc>
        <w:tc>
          <w:tcPr>
            <w:tcW w:w="1984" w:type="dxa"/>
            <w:shd w:val="clear" w:color="auto" w:fill="auto"/>
            <w:tcMar>
              <w:top w:w="57" w:type="dxa"/>
              <w:bottom w:w="57" w:type="dxa"/>
            </w:tcMar>
          </w:tcPr>
          <w:p w14:paraId="70193A7B" w14:textId="77777777" w:rsidR="00751EAB" w:rsidRDefault="005A5C62">
            <w:pPr>
              <w:spacing w:after="0" w:line="240" w:lineRule="auto"/>
              <w:rPr>
                <w:rFonts w:ascii="Century Gothic" w:hAnsi="Century Gothic" w:cs="Arial"/>
                <w:b/>
                <w:sz w:val="20"/>
                <w:szCs w:val="20"/>
              </w:rPr>
            </w:pPr>
            <w:r>
              <w:rPr>
                <w:rFonts w:ascii="Century Gothic" w:hAnsi="Century Gothic" w:cs="Arial"/>
                <w:b/>
                <w:sz w:val="20"/>
                <w:szCs w:val="20"/>
              </w:rPr>
              <w:t>When will you review implementation?</w:t>
            </w:r>
          </w:p>
        </w:tc>
      </w:tr>
      <w:tr w:rsidR="00751EAB" w14:paraId="5A2B7172" w14:textId="77777777" w:rsidTr="00454CEB">
        <w:trPr>
          <w:trHeight w:hRule="exact" w:val="2626"/>
        </w:trPr>
        <w:tc>
          <w:tcPr>
            <w:tcW w:w="2236" w:type="dxa"/>
            <w:gridSpan w:val="3"/>
            <w:shd w:val="clear" w:color="auto" w:fill="auto"/>
            <w:tcMar>
              <w:top w:w="57" w:type="dxa"/>
              <w:left w:w="108" w:type="dxa"/>
              <w:bottom w:w="57" w:type="dxa"/>
            </w:tcMar>
          </w:tcPr>
          <w:p w14:paraId="0569A603" w14:textId="77777777" w:rsidR="00751EAB" w:rsidRDefault="005A5C62">
            <w:pPr>
              <w:spacing w:after="0" w:line="240" w:lineRule="auto"/>
              <w:rPr>
                <w:rFonts w:ascii="Century Gothic" w:hAnsi="Century Gothic" w:cs="Arial"/>
                <w:sz w:val="18"/>
                <w:szCs w:val="18"/>
              </w:rPr>
            </w:pPr>
            <w:r>
              <w:rPr>
                <w:rFonts w:ascii="Century Gothic" w:hAnsi="Century Gothic"/>
                <w:sz w:val="18"/>
                <w:szCs w:val="18"/>
              </w:rPr>
              <w:t>Children who are eligible for PP who have additional SEN, will make progress in line with other groups and compared to similar pupils nationally</w:t>
            </w:r>
          </w:p>
        </w:tc>
        <w:tc>
          <w:tcPr>
            <w:tcW w:w="2409" w:type="dxa"/>
            <w:gridSpan w:val="3"/>
            <w:shd w:val="clear" w:color="auto" w:fill="auto"/>
            <w:tcMar>
              <w:top w:w="57" w:type="dxa"/>
              <w:left w:w="108" w:type="dxa"/>
              <w:bottom w:w="57" w:type="dxa"/>
            </w:tcMar>
          </w:tcPr>
          <w:p w14:paraId="41127431" w14:textId="77777777" w:rsidR="00751EAB" w:rsidRDefault="005A5C62">
            <w:pPr>
              <w:spacing w:after="0" w:line="240" w:lineRule="auto"/>
              <w:rPr>
                <w:rFonts w:ascii="Century Gothic" w:hAnsi="Century Gothic" w:cs="Arial"/>
                <w:sz w:val="16"/>
                <w:szCs w:val="16"/>
              </w:rPr>
            </w:pPr>
            <w:r>
              <w:rPr>
                <w:rFonts w:ascii="Century Gothic" w:hAnsi="Century Gothic" w:cs="Arial"/>
                <w:sz w:val="16"/>
                <w:szCs w:val="16"/>
              </w:rPr>
              <w:t>Additional TA support targeted at children with specific area of need ( KS2)</w:t>
            </w:r>
          </w:p>
          <w:p w14:paraId="7C0050FE" w14:textId="77777777" w:rsidR="00751EAB" w:rsidRDefault="005A5C62">
            <w:pPr>
              <w:spacing w:after="0" w:line="240" w:lineRule="auto"/>
              <w:rPr>
                <w:rFonts w:ascii="Century Gothic" w:hAnsi="Century Gothic" w:cs="Arial"/>
                <w:sz w:val="16"/>
                <w:szCs w:val="16"/>
              </w:rPr>
            </w:pPr>
            <w:r>
              <w:rPr>
                <w:rFonts w:ascii="Century Gothic" w:hAnsi="Century Gothic" w:cs="Arial"/>
                <w:sz w:val="16"/>
                <w:szCs w:val="16"/>
              </w:rPr>
              <w:t>KS1 – TA support for targeted daily phonics sessions.</w:t>
            </w:r>
          </w:p>
          <w:p w14:paraId="33300E45" w14:textId="77777777" w:rsidR="00751EAB" w:rsidRDefault="005A5C62">
            <w:pPr>
              <w:spacing w:after="0" w:line="240" w:lineRule="auto"/>
              <w:rPr>
                <w:rFonts w:ascii="Century Gothic" w:hAnsi="Century Gothic" w:cs="Arial"/>
                <w:sz w:val="16"/>
                <w:szCs w:val="16"/>
              </w:rPr>
            </w:pPr>
            <w:r>
              <w:rPr>
                <w:rFonts w:ascii="Century Gothic" w:hAnsi="Century Gothic" w:cs="Arial"/>
                <w:sz w:val="16"/>
                <w:szCs w:val="16"/>
              </w:rPr>
              <w:t>TA delivery of precision maths, reading and spelling interventions</w:t>
            </w:r>
          </w:p>
          <w:p w14:paraId="55A0396B" w14:textId="77777777" w:rsidR="009D079C" w:rsidRDefault="009D079C">
            <w:pPr>
              <w:spacing w:after="0" w:line="240" w:lineRule="auto"/>
              <w:rPr>
                <w:rFonts w:ascii="Century Gothic" w:hAnsi="Century Gothic" w:cs="Arial"/>
                <w:sz w:val="16"/>
                <w:szCs w:val="16"/>
              </w:rPr>
            </w:pPr>
            <w:r>
              <w:rPr>
                <w:rFonts w:ascii="Century Gothic" w:hAnsi="Century Gothic" w:cs="Arial"/>
                <w:sz w:val="16"/>
                <w:szCs w:val="16"/>
              </w:rPr>
              <w:t>Catch up Maths</w:t>
            </w:r>
          </w:p>
          <w:p w14:paraId="7EC79B3A" w14:textId="77777777" w:rsidR="009D079C" w:rsidRDefault="009D079C">
            <w:pPr>
              <w:spacing w:after="0" w:line="240" w:lineRule="auto"/>
              <w:rPr>
                <w:rFonts w:ascii="Century Gothic" w:hAnsi="Century Gothic" w:cs="Arial"/>
                <w:sz w:val="16"/>
                <w:szCs w:val="16"/>
              </w:rPr>
            </w:pPr>
            <w:r>
              <w:rPr>
                <w:rFonts w:ascii="Century Gothic" w:hAnsi="Century Gothic" w:cs="Arial"/>
                <w:sz w:val="16"/>
                <w:szCs w:val="16"/>
              </w:rPr>
              <w:t>Catch up Literacy</w:t>
            </w:r>
          </w:p>
        </w:tc>
        <w:tc>
          <w:tcPr>
            <w:tcW w:w="3827" w:type="dxa"/>
            <w:gridSpan w:val="6"/>
            <w:shd w:val="clear" w:color="auto" w:fill="auto"/>
            <w:tcMar>
              <w:top w:w="57" w:type="dxa"/>
              <w:left w:w="108" w:type="dxa"/>
              <w:bottom w:w="57" w:type="dxa"/>
            </w:tcMar>
          </w:tcPr>
          <w:p w14:paraId="4A9B0CB6" w14:textId="77777777" w:rsidR="00751EAB" w:rsidRDefault="005A5C62">
            <w:pPr>
              <w:spacing w:after="0" w:line="240" w:lineRule="auto"/>
              <w:rPr>
                <w:rFonts w:ascii="Century Gothic" w:hAnsi="Century Gothic" w:cs="Arial"/>
                <w:sz w:val="18"/>
                <w:szCs w:val="18"/>
              </w:rPr>
            </w:pPr>
            <w:r>
              <w:rPr>
                <w:rFonts w:ascii="Century Gothic" w:hAnsi="Century Gothic" w:cs="Arial"/>
                <w:sz w:val="18"/>
                <w:szCs w:val="18"/>
              </w:rPr>
              <w:t>Structured approach to phonics used as core of KS1 reading curriculum.</w:t>
            </w:r>
          </w:p>
          <w:p w14:paraId="394379B6" w14:textId="77777777" w:rsidR="004439F5" w:rsidRDefault="004439F5">
            <w:pPr>
              <w:spacing w:after="0" w:line="240" w:lineRule="auto"/>
              <w:rPr>
                <w:rFonts w:ascii="Century Gothic" w:hAnsi="Century Gothic" w:cs="Arial"/>
                <w:sz w:val="18"/>
                <w:szCs w:val="18"/>
              </w:rPr>
            </w:pPr>
          </w:p>
          <w:p w14:paraId="6CA0FB8E" w14:textId="77777777" w:rsidR="00751EAB" w:rsidRDefault="005A5C62">
            <w:pPr>
              <w:spacing w:after="0" w:line="240" w:lineRule="auto"/>
              <w:rPr>
                <w:rFonts w:ascii="Century Gothic" w:hAnsi="Century Gothic" w:cs="Arial"/>
                <w:sz w:val="18"/>
                <w:szCs w:val="18"/>
              </w:rPr>
            </w:pPr>
            <w:r>
              <w:rPr>
                <w:rFonts w:ascii="Century Gothic" w:hAnsi="Century Gothic" w:cs="Arial"/>
                <w:sz w:val="18"/>
                <w:szCs w:val="18"/>
              </w:rPr>
              <w:t xml:space="preserve">TA support targeted for early reading skills to ensure every child a reader. </w:t>
            </w:r>
          </w:p>
          <w:p w14:paraId="76DF5884" w14:textId="77777777" w:rsidR="009D079C" w:rsidRDefault="009D079C">
            <w:pPr>
              <w:spacing w:after="0" w:line="240" w:lineRule="auto"/>
              <w:rPr>
                <w:rFonts w:ascii="Century Gothic" w:hAnsi="Century Gothic" w:cs="Arial"/>
                <w:sz w:val="18"/>
                <w:szCs w:val="18"/>
              </w:rPr>
            </w:pPr>
          </w:p>
          <w:p w14:paraId="7153A960" w14:textId="77777777" w:rsidR="009D079C" w:rsidRDefault="009D079C">
            <w:pPr>
              <w:spacing w:after="0" w:line="240" w:lineRule="auto"/>
              <w:rPr>
                <w:rFonts w:ascii="Century Gothic" w:hAnsi="Century Gothic" w:cs="Arial"/>
                <w:sz w:val="18"/>
                <w:szCs w:val="18"/>
              </w:rPr>
            </w:pPr>
          </w:p>
          <w:p w14:paraId="3195B798" w14:textId="77777777" w:rsidR="009D079C" w:rsidRDefault="009D079C">
            <w:pPr>
              <w:spacing w:after="0" w:line="240" w:lineRule="auto"/>
              <w:rPr>
                <w:rFonts w:ascii="Century Gothic" w:hAnsi="Century Gothic" w:cs="Arial"/>
                <w:sz w:val="18"/>
                <w:szCs w:val="18"/>
              </w:rPr>
            </w:pPr>
          </w:p>
          <w:p w14:paraId="57B11577" w14:textId="77777777" w:rsidR="009D079C" w:rsidRDefault="009D079C">
            <w:pPr>
              <w:spacing w:after="0" w:line="240" w:lineRule="auto"/>
              <w:rPr>
                <w:rFonts w:ascii="Century Gothic" w:hAnsi="Century Gothic" w:cs="Arial"/>
                <w:sz w:val="18"/>
                <w:szCs w:val="18"/>
              </w:rPr>
            </w:pPr>
            <w:r>
              <w:rPr>
                <w:rFonts w:ascii="Century Gothic" w:hAnsi="Century Gothic" w:cs="Arial"/>
                <w:sz w:val="18"/>
                <w:szCs w:val="18"/>
              </w:rPr>
              <w:t>Training facilitated by virtual schools to enable TAs to provide targeted support</w:t>
            </w:r>
          </w:p>
        </w:tc>
        <w:tc>
          <w:tcPr>
            <w:tcW w:w="3260" w:type="dxa"/>
            <w:gridSpan w:val="3"/>
            <w:shd w:val="clear" w:color="auto" w:fill="auto"/>
            <w:tcMar>
              <w:top w:w="57" w:type="dxa"/>
              <w:left w:w="108" w:type="dxa"/>
              <w:bottom w:w="57" w:type="dxa"/>
            </w:tcMar>
          </w:tcPr>
          <w:p w14:paraId="3F914881" w14:textId="77777777" w:rsidR="00751EAB" w:rsidRDefault="005A5C62">
            <w:pPr>
              <w:spacing w:after="0" w:line="240" w:lineRule="auto"/>
              <w:rPr>
                <w:rFonts w:ascii="Century Gothic" w:hAnsi="Century Gothic" w:cs="Arial"/>
                <w:sz w:val="18"/>
                <w:szCs w:val="18"/>
              </w:rPr>
            </w:pPr>
            <w:r>
              <w:rPr>
                <w:rFonts w:ascii="Century Gothic" w:hAnsi="Century Gothic" w:cs="Arial"/>
                <w:sz w:val="18"/>
                <w:szCs w:val="18"/>
              </w:rPr>
              <w:t>Effective planning for TA support in daily, weekly timetables – monitored regularly.</w:t>
            </w:r>
          </w:p>
          <w:p w14:paraId="43974146" w14:textId="77777777" w:rsidR="00751EAB" w:rsidRDefault="005A5C62">
            <w:pPr>
              <w:spacing w:after="0" w:line="240" w:lineRule="auto"/>
              <w:rPr>
                <w:rFonts w:ascii="Century Gothic" w:hAnsi="Century Gothic" w:cs="Arial"/>
                <w:sz w:val="18"/>
                <w:szCs w:val="18"/>
              </w:rPr>
            </w:pPr>
            <w:r>
              <w:rPr>
                <w:rFonts w:ascii="Century Gothic" w:hAnsi="Century Gothic" w:cs="Arial"/>
                <w:sz w:val="18"/>
                <w:szCs w:val="18"/>
              </w:rPr>
              <w:t>Impact of interventions will be monitored and reviewed regularly as part of monitoring and evaluation schedule.</w:t>
            </w:r>
          </w:p>
        </w:tc>
        <w:tc>
          <w:tcPr>
            <w:tcW w:w="1276" w:type="dxa"/>
            <w:shd w:val="clear" w:color="auto" w:fill="auto"/>
            <w:tcMar>
              <w:top w:w="57" w:type="dxa"/>
              <w:left w:w="108" w:type="dxa"/>
              <w:bottom w:w="57" w:type="dxa"/>
            </w:tcMar>
          </w:tcPr>
          <w:p w14:paraId="1CAFEE0D" w14:textId="77777777" w:rsidR="00751EAB" w:rsidRDefault="004439F5">
            <w:pPr>
              <w:spacing w:after="0" w:line="240" w:lineRule="auto"/>
              <w:rPr>
                <w:rFonts w:ascii="Century Gothic" w:hAnsi="Century Gothic" w:cs="Arial"/>
                <w:sz w:val="18"/>
                <w:szCs w:val="18"/>
              </w:rPr>
            </w:pPr>
            <w:r>
              <w:rPr>
                <w:rFonts w:ascii="Century Gothic" w:hAnsi="Century Gothic" w:cs="Arial"/>
                <w:sz w:val="18"/>
                <w:szCs w:val="18"/>
              </w:rPr>
              <w:t>Helen Slocombe</w:t>
            </w:r>
          </w:p>
          <w:p w14:paraId="244C3779" w14:textId="77777777" w:rsidR="004439F5" w:rsidRDefault="004439F5">
            <w:pPr>
              <w:spacing w:after="0" w:line="240" w:lineRule="auto"/>
              <w:rPr>
                <w:rFonts w:ascii="Century Gothic" w:hAnsi="Century Gothic" w:cs="Arial"/>
                <w:sz w:val="18"/>
                <w:szCs w:val="18"/>
              </w:rPr>
            </w:pPr>
          </w:p>
          <w:p w14:paraId="1AF8F321" w14:textId="77777777" w:rsidR="00751EAB" w:rsidRDefault="005A5C62">
            <w:pPr>
              <w:spacing w:after="0" w:line="240" w:lineRule="auto"/>
              <w:rPr>
                <w:rFonts w:ascii="Century Gothic" w:hAnsi="Century Gothic" w:cs="Arial"/>
                <w:sz w:val="18"/>
                <w:szCs w:val="18"/>
              </w:rPr>
            </w:pPr>
            <w:r>
              <w:rPr>
                <w:rFonts w:ascii="Century Gothic" w:hAnsi="Century Gothic" w:cs="Arial"/>
                <w:sz w:val="18"/>
                <w:szCs w:val="18"/>
              </w:rPr>
              <w:t>Anne Hodgson</w:t>
            </w:r>
          </w:p>
        </w:tc>
        <w:tc>
          <w:tcPr>
            <w:tcW w:w="1984" w:type="dxa"/>
            <w:shd w:val="clear" w:color="auto" w:fill="auto"/>
            <w:tcMar>
              <w:top w:w="57" w:type="dxa"/>
              <w:bottom w:w="57" w:type="dxa"/>
            </w:tcMar>
          </w:tcPr>
          <w:p w14:paraId="5B93E81E" w14:textId="77777777" w:rsidR="00751EAB" w:rsidRDefault="00A804E2">
            <w:pPr>
              <w:spacing w:after="0" w:line="240" w:lineRule="auto"/>
              <w:rPr>
                <w:rFonts w:ascii="Century Gothic" w:hAnsi="Century Gothic" w:cs="Arial"/>
                <w:sz w:val="18"/>
                <w:szCs w:val="18"/>
              </w:rPr>
            </w:pPr>
            <w:r>
              <w:rPr>
                <w:rFonts w:ascii="Century Gothic" w:hAnsi="Century Gothic" w:cs="Arial"/>
                <w:sz w:val="18"/>
                <w:szCs w:val="18"/>
              </w:rPr>
              <w:t>February 20</w:t>
            </w:r>
            <w:r w:rsidR="004439F5">
              <w:rPr>
                <w:rFonts w:ascii="Century Gothic" w:hAnsi="Century Gothic" w:cs="Arial"/>
                <w:sz w:val="18"/>
                <w:szCs w:val="18"/>
              </w:rPr>
              <w:t>20</w:t>
            </w:r>
          </w:p>
          <w:p w14:paraId="543CAA67" w14:textId="77777777" w:rsidR="00751EAB" w:rsidRDefault="00751EAB">
            <w:pPr>
              <w:spacing w:after="0" w:line="240" w:lineRule="auto"/>
              <w:rPr>
                <w:rFonts w:ascii="Century Gothic" w:hAnsi="Century Gothic" w:cs="Arial"/>
                <w:sz w:val="18"/>
                <w:szCs w:val="18"/>
              </w:rPr>
            </w:pPr>
          </w:p>
          <w:p w14:paraId="366213A6" w14:textId="77777777" w:rsidR="00751EAB" w:rsidRDefault="00751EAB">
            <w:pPr>
              <w:spacing w:after="0" w:line="240" w:lineRule="auto"/>
              <w:rPr>
                <w:rFonts w:ascii="Century Gothic" w:hAnsi="Century Gothic" w:cs="Arial"/>
                <w:sz w:val="18"/>
                <w:szCs w:val="18"/>
              </w:rPr>
            </w:pPr>
          </w:p>
          <w:p w14:paraId="6B98A629" w14:textId="77777777" w:rsidR="00751EAB" w:rsidRDefault="00A804E2">
            <w:pPr>
              <w:spacing w:after="0" w:line="240" w:lineRule="auto"/>
              <w:rPr>
                <w:rFonts w:ascii="Century Gothic" w:hAnsi="Century Gothic" w:cs="Arial"/>
                <w:sz w:val="18"/>
                <w:szCs w:val="18"/>
              </w:rPr>
            </w:pPr>
            <w:r>
              <w:rPr>
                <w:rFonts w:ascii="Century Gothic" w:hAnsi="Century Gothic" w:cs="Arial"/>
                <w:sz w:val="18"/>
                <w:szCs w:val="18"/>
              </w:rPr>
              <w:t>June 20</w:t>
            </w:r>
            <w:r w:rsidR="004439F5">
              <w:rPr>
                <w:rFonts w:ascii="Century Gothic" w:hAnsi="Century Gothic" w:cs="Arial"/>
                <w:sz w:val="18"/>
                <w:szCs w:val="18"/>
              </w:rPr>
              <w:t>20</w:t>
            </w:r>
          </w:p>
        </w:tc>
      </w:tr>
      <w:tr w:rsidR="00751EAB" w14:paraId="3A448885" w14:textId="77777777" w:rsidTr="00454CEB">
        <w:trPr>
          <w:trHeight w:hRule="exact" w:val="458"/>
        </w:trPr>
        <w:tc>
          <w:tcPr>
            <w:tcW w:w="13008" w:type="dxa"/>
            <w:gridSpan w:val="16"/>
            <w:shd w:val="clear" w:color="auto" w:fill="auto"/>
            <w:tcMar>
              <w:top w:w="57" w:type="dxa"/>
              <w:left w:w="108" w:type="dxa"/>
              <w:bottom w:w="57" w:type="dxa"/>
            </w:tcMar>
          </w:tcPr>
          <w:p w14:paraId="4FAC1AAC" w14:textId="77777777" w:rsidR="00751EAB" w:rsidRDefault="005A5C62">
            <w:pPr>
              <w:spacing w:after="0" w:line="240" w:lineRule="auto"/>
              <w:jc w:val="right"/>
              <w:rPr>
                <w:rFonts w:ascii="Arial" w:hAnsi="Arial" w:cs="Arial"/>
              </w:rPr>
            </w:pPr>
            <w:r>
              <w:rPr>
                <w:rFonts w:ascii="Arial" w:hAnsi="Arial" w:cs="Arial"/>
                <w:b/>
              </w:rPr>
              <w:t>Total budgeted cost</w:t>
            </w:r>
          </w:p>
        </w:tc>
        <w:tc>
          <w:tcPr>
            <w:tcW w:w="1984" w:type="dxa"/>
            <w:shd w:val="clear" w:color="auto" w:fill="auto"/>
            <w:tcMar>
              <w:left w:w="108" w:type="dxa"/>
            </w:tcMar>
          </w:tcPr>
          <w:p w14:paraId="188826C8" w14:textId="77777777" w:rsidR="00751EAB" w:rsidRDefault="009D079C">
            <w:pPr>
              <w:spacing w:after="0" w:line="240" w:lineRule="auto"/>
              <w:rPr>
                <w:rFonts w:ascii="Arial" w:hAnsi="Arial" w:cs="Arial"/>
              </w:rPr>
            </w:pPr>
            <w:r>
              <w:rPr>
                <w:rFonts w:ascii="Arial" w:hAnsi="Arial" w:cs="Arial"/>
              </w:rPr>
              <w:t>£28,386</w:t>
            </w:r>
          </w:p>
        </w:tc>
      </w:tr>
      <w:tr w:rsidR="00751EAB" w14:paraId="34305545" w14:textId="77777777" w:rsidTr="00454CEB">
        <w:tc>
          <w:tcPr>
            <w:tcW w:w="7087" w:type="dxa"/>
            <w:gridSpan w:val="9"/>
            <w:shd w:val="clear" w:color="auto" w:fill="auto"/>
            <w:tcMar>
              <w:left w:w="108" w:type="dxa"/>
            </w:tcMar>
          </w:tcPr>
          <w:p w14:paraId="72362331" w14:textId="77777777" w:rsidR="00751EAB" w:rsidRDefault="005A5C62">
            <w:pPr>
              <w:spacing w:after="0" w:line="240" w:lineRule="auto"/>
              <w:rPr>
                <w:rFonts w:ascii="Century Gothic" w:hAnsi="Century Gothic"/>
              </w:rPr>
            </w:pPr>
            <w:r>
              <w:rPr>
                <w:rFonts w:ascii="Century Gothic" w:hAnsi="Century Gothic"/>
              </w:rPr>
              <w:t>How we aim to show impact</w:t>
            </w:r>
          </w:p>
        </w:tc>
        <w:tc>
          <w:tcPr>
            <w:tcW w:w="7905" w:type="dxa"/>
            <w:gridSpan w:val="8"/>
            <w:shd w:val="clear" w:color="auto" w:fill="auto"/>
            <w:tcMar>
              <w:left w:w="108" w:type="dxa"/>
            </w:tcMar>
          </w:tcPr>
          <w:p w14:paraId="21F0F694" w14:textId="77777777" w:rsidR="00751EAB" w:rsidRDefault="005A5C62">
            <w:pPr>
              <w:spacing w:after="0" w:line="240" w:lineRule="auto"/>
              <w:rPr>
                <w:rFonts w:ascii="Century Gothic" w:hAnsi="Century Gothic"/>
              </w:rPr>
            </w:pPr>
            <w:r>
              <w:rPr>
                <w:rFonts w:ascii="Century Gothic" w:hAnsi="Century Gothic"/>
              </w:rPr>
              <w:t>Review</w:t>
            </w:r>
          </w:p>
        </w:tc>
      </w:tr>
      <w:tr w:rsidR="00751EAB" w14:paraId="382860C7" w14:textId="77777777" w:rsidTr="00454CEB">
        <w:tc>
          <w:tcPr>
            <w:tcW w:w="7087" w:type="dxa"/>
            <w:gridSpan w:val="9"/>
            <w:shd w:val="clear" w:color="auto" w:fill="auto"/>
            <w:tcMar>
              <w:left w:w="108" w:type="dxa"/>
            </w:tcMar>
          </w:tcPr>
          <w:p w14:paraId="3D44192D" w14:textId="77777777" w:rsidR="00751EAB" w:rsidRDefault="005A5C62">
            <w:pPr>
              <w:pStyle w:val="ListParagraph"/>
              <w:numPr>
                <w:ilvl w:val="0"/>
                <w:numId w:val="3"/>
              </w:numPr>
              <w:rPr>
                <w:rFonts w:ascii="Century Gothic" w:hAnsi="Century Gothic"/>
                <w:sz w:val="16"/>
                <w:szCs w:val="16"/>
              </w:rPr>
            </w:pPr>
            <w:r>
              <w:rPr>
                <w:rFonts w:ascii="Century Gothic" w:hAnsi="Century Gothic"/>
                <w:sz w:val="16"/>
                <w:szCs w:val="16"/>
              </w:rPr>
              <w:t>Continuous monitoring of attainment, achievement and social development will take place during the year - this will be a feature in pupil progress reviews and during monitoring exercise.</w:t>
            </w:r>
          </w:p>
          <w:p w14:paraId="78869668" w14:textId="77777777" w:rsidR="00751EAB" w:rsidRDefault="00751EAB">
            <w:pPr>
              <w:pStyle w:val="ListParagraph"/>
              <w:rPr>
                <w:rFonts w:ascii="Century Gothic" w:hAnsi="Century Gothic"/>
                <w:sz w:val="16"/>
                <w:szCs w:val="16"/>
              </w:rPr>
            </w:pPr>
          </w:p>
          <w:p w14:paraId="5E45036C" w14:textId="77777777" w:rsidR="00751EAB" w:rsidRDefault="005A5C62">
            <w:pPr>
              <w:pStyle w:val="ListParagraph"/>
              <w:numPr>
                <w:ilvl w:val="0"/>
                <w:numId w:val="3"/>
              </w:numPr>
              <w:rPr>
                <w:rFonts w:ascii="Century Gothic" w:hAnsi="Century Gothic"/>
                <w:sz w:val="16"/>
                <w:szCs w:val="16"/>
              </w:rPr>
            </w:pPr>
            <w:r>
              <w:rPr>
                <w:rFonts w:ascii="Century Gothic" w:hAnsi="Century Gothic"/>
                <w:sz w:val="16"/>
                <w:szCs w:val="16"/>
              </w:rPr>
              <w:lastRenderedPageBreak/>
              <w:t>Meetings with parents/children will take place throughout the year to discuss development and next steps – feedback to measure impact. End of key stage attainment levels will measure impact on core curriculum areas and illustrated on school’s website as and when data becomes available.  In-school data will also be monitored.</w:t>
            </w:r>
          </w:p>
          <w:p w14:paraId="18A138F4" w14:textId="77777777" w:rsidR="00751EAB" w:rsidRDefault="00751EAB">
            <w:pPr>
              <w:pStyle w:val="ListParagraph"/>
              <w:rPr>
                <w:rFonts w:ascii="Century Gothic" w:hAnsi="Century Gothic"/>
                <w:sz w:val="16"/>
                <w:szCs w:val="16"/>
              </w:rPr>
            </w:pPr>
          </w:p>
          <w:p w14:paraId="7C129FA2" w14:textId="77777777" w:rsidR="00751EAB" w:rsidRDefault="005A5C62">
            <w:pPr>
              <w:pStyle w:val="ListParagraph"/>
              <w:numPr>
                <w:ilvl w:val="0"/>
                <w:numId w:val="3"/>
              </w:numPr>
              <w:rPr>
                <w:rFonts w:ascii="Century Gothic" w:hAnsi="Century Gothic"/>
                <w:sz w:val="16"/>
                <w:szCs w:val="16"/>
              </w:rPr>
            </w:pPr>
            <w:r>
              <w:rPr>
                <w:rFonts w:ascii="Century Gothic" w:hAnsi="Century Gothic"/>
                <w:sz w:val="16"/>
                <w:szCs w:val="16"/>
              </w:rPr>
              <w:t>Pupils’ learning and social development through pupil voice consultation as part of the monitoring process.</w:t>
            </w:r>
          </w:p>
          <w:p w14:paraId="7183167D" w14:textId="77777777" w:rsidR="00751EAB" w:rsidRDefault="00751EAB">
            <w:pPr>
              <w:pStyle w:val="ListParagraph"/>
              <w:rPr>
                <w:rFonts w:ascii="Century Gothic" w:hAnsi="Century Gothic"/>
                <w:sz w:val="16"/>
                <w:szCs w:val="16"/>
              </w:rPr>
            </w:pPr>
          </w:p>
          <w:p w14:paraId="4D02B75D" w14:textId="77777777" w:rsidR="00751EAB" w:rsidRDefault="005A5C62">
            <w:pPr>
              <w:pStyle w:val="ListParagraph"/>
              <w:numPr>
                <w:ilvl w:val="0"/>
                <w:numId w:val="3"/>
              </w:numPr>
              <w:rPr>
                <w:rFonts w:ascii="Century Gothic" w:hAnsi="Century Gothic"/>
                <w:sz w:val="16"/>
                <w:szCs w:val="16"/>
              </w:rPr>
            </w:pPr>
            <w:r>
              <w:rPr>
                <w:rFonts w:ascii="Century Gothic" w:hAnsi="Century Gothic"/>
                <w:sz w:val="16"/>
                <w:szCs w:val="16"/>
              </w:rPr>
              <w:t>Increased % of PP children reaching GLD for language development and reading at the end of Reception.</w:t>
            </w:r>
          </w:p>
          <w:p w14:paraId="7C4151A9" w14:textId="77777777" w:rsidR="00751EAB" w:rsidRDefault="00751EAB">
            <w:pPr>
              <w:pStyle w:val="ListParagraph"/>
              <w:rPr>
                <w:rFonts w:ascii="Century Gothic" w:hAnsi="Century Gothic"/>
                <w:sz w:val="16"/>
                <w:szCs w:val="16"/>
              </w:rPr>
            </w:pPr>
          </w:p>
          <w:p w14:paraId="70E6A94B" w14:textId="77777777" w:rsidR="00751EAB" w:rsidRDefault="005A5C62">
            <w:pPr>
              <w:pStyle w:val="ListParagraph"/>
              <w:numPr>
                <w:ilvl w:val="0"/>
                <w:numId w:val="3"/>
              </w:numPr>
              <w:rPr>
                <w:rFonts w:ascii="Century Gothic" w:hAnsi="Century Gothic"/>
              </w:rPr>
            </w:pPr>
            <w:r>
              <w:rPr>
                <w:rFonts w:ascii="Century Gothic" w:hAnsi="Century Gothic"/>
                <w:sz w:val="16"/>
                <w:szCs w:val="16"/>
              </w:rPr>
              <w:t>Increased % of Y1 PP children achieving above National Standard in Phonic Screening test at end of Y1.</w:t>
            </w:r>
          </w:p>
        </w:tc>
        <w:tc>
          <w:tcPr>
            <w:tcW w:w="7905" w:type="dxa"/>
            <w:gridSpan w:val="8"/>
            <w:shd w:val="clear" w:color="auto" w:fill="auto"/>
            <w:tcMar>
              <w:left w:w="108" w:type="dxa"/>
            </w:tcMar>
          </w:tcPr>
          <w:p w14:paraId="5BF98779" w14:textId="58B5965D" w:rsidR="00BA424E" w:rsidRDefault="00BA424E" w:rsidP="00BA424E">
            <w:pPr>
              <w:pStyle w:val="ListParagraph"/>
              <w:numPr>
                <w:ilvl w:val="0"/>
                <w:numId w:val="3"/>
              </w:numPr>
              <w:rPr>
                <w:rFonts w:ascii="Century Gothic" w:hAnsi="Century Gothic"/>
                <w:sz w:val="18"/>
                <w:szCs w:val="18"/>
              </w:rPr>
            </w:pPr>
            <w:r>
              <w:rPr>
                <w:rFonts w:ascii="Century Gothic" w:hAnsi="Century Gothic"/>
                <w:sz w:val="18"/>
                <w:szCs w:val="18"/>
              </w:rPr>
              <w:lastRenderedPageBreak/>
              <w:t>PP (1 child) targeted children in Y1 internal phonics screening assessment – 1 child achieved national standard and passed phonics screening internal assessment, government assessment to be completed Autumn2 Year 2</w:t>
            </w:r>
          </w:p>
          <w:p w14:paraId="49564D65" w14:textId="77777777" w:rsidR="00BA424E" w:rsidRDefault="00BA424E" w:rsidP="00BA424E">
            <w:pPr>
              <w:pStyle w:val="ListParagraph"/>
              <w:rPr>
                <w:rFonts w:ascii="Century Gothic" w:hAnsi="Century Gothic"/>
                <w:sz w:val="18"/>
                <w:szCs w:val="18"/>
              </w:rPr>
            </w:pPr>
          </w:p>
          <w:p w14:paraId="0ECF1616" w14:textId="77777777" w:rsidR="00BA424E" w:rsidRDefault="00BA424E" w:rsidP="00BA424E">
            <w:pPr>
              <w:pStyle w:val="ListParagraph"/>
              <w:numPr>
                <w:ilvl w:val="0"/>
                <w:numId w:val="3"/>
              </w:numPr>
              <w:rPr>
                <w:rFonts w:ascii="Century Gothic" w:hAnsi="Century Gothic"/>
                <w:sz w:val="18"/>
                <w:szCs w:val="18"/>
              </w:rPr>
            </w:pPr>
            <w:r>
              <w:rPr>
                <w:rFonts w:ascii="Century Gothic" w:hAnsi="Century Gothic"/>
                <w:sz w:val="18"/>
                <w:szCs w:val="18"/>
              </w:rPr>
              <w:t>Those children not meeting expectations have specific SEN support.</w:t>
            </w:r>
          </w:p>
          <w:p w14:paraId="398EF766" w14:textId="0EE3ECD8" w:rsidR="00BA424E" w:rsidRDefault="00BA424E" w:rsidP="00BA424E">
            <w:pPr>
              <w:pStyle w:val="ListParagraph"/>
              <w:numPr>
                <w:ilvl w:val="0"/>
                <w:numId w:val="3"/>
              </w:numPr>
              <w:rPr>
                <w:rFonts w:ascii="Century Gothic" w:hAnsi="Century Gothic"/>
                <w:sz w:val="18"/>
                <w:szCs w:val="18"/>
              </w:rPr>
            </w:pPr>
            <w:r>
              <w:rPr>
                <w:rFonts w:ascii="Century Gothic" w:hAnsi="Century Gothic"/>
                <w:sz w:val="18"/>
                <w:szCs w:val="18"/>
              </w:rPr>
              <w:lastRenderedPageBreak/>
              <w:t>100% of PP children (2 children) achieved ARE at end of KS2 in maths, reading and writing.</w:t>
            </w:r>
          </w:p>
          <w:p w14:paraId="5901C314" w14:textId="77777777" w:rsidR="00BA424E" w:rsidRDefault="00BA424E" w:rsidP="00BA424E">
            <w:pPr>
              <w:pStyle w:val="ListParagraph"/>
              <w:rPr>
                <w:rFonts w:ascii="Century Gothic" w:hAnsi="Century Gothic"/>
                <w:sz w:val="18"/>
                <w:szCs w:val="18"/>
              </w:rPr>
            </w:pPr>
          </w:p>
          <w:p w14:paraId="3CB5E0BE" w14:textId="33A5C157" w:rsidR="00BA424E" w:rsidRDefault="00BA424E" w:rsidP="00BA424E">
            <w:pPr>
              <w:pStyle w:val="ListParagraph"/>
              <w:numPr>
                <w:ilvl w:val="0"/>
                <w:numId w:val="3"/>
              </w:numPr>
              <w:rPr>
                <w:rFonts w:ascii="Century Gothic" w:hAnsi="Century Gothic"/>
                <w:sz w:val="18"/>
                <w:szCs w:val="18"/>
              </w:rPr>
            </w:pPr>
            <w:r w:rsidRPr="00BA424E">
              <w:rPr>
                <w:rFonts w:ascii="Century Gothic" w:hAnsi="Century Gothic"/>
                <w:sz w:val="18"/>
                <w:szCs w:val="18"/>
              </w:rPr>
              <w:t>Those children not meeting expectations also have specific SEN which affects attainment in core areas – continue to provide interventions and monitor attainment.  Majority of children made expected progress from previous starting point.</w:t>
            </w:r>
          </w:p>
          <w:p w14:paraId="3457E3ED" w14:textId="77777777" w:rsidR="00BA424E" w:rsidRPr="00BA424E" w:rsidRDefault="00BA424E" w:rsidP="00BA424E">
            <w:pPr>
              <w:pStyle w:val="ListParagraph"/>
              <w:rPr>
                <w:rFonts w:ascii="Century Gothic" w:hAnsi="Century Gothic"/>
                <w:sz w:val="18"/>
                <w:szCs w:val="18"/>
              </w:rPr>
            </w:pPr>
          </w:p>
          <w:p w14:paraId="78F6EFBB" w14:textId="77777777" w:rsidR="00BA424E" w:rsidRPr="00BA424E" w:rsidRDefault="00BA424E" w:rsidP="00BA424E">
            <w:pPr>
              <w:pStyle w:val="ListParagraph"/>
              <w:rPr>
                <w:rFonts w:ascii="Century Gothic" w:hAnsi="Century Gothic"/>
                <w:sz w:val="18"/>
                <w:szCs w:val="18"/>
              </w:rPr>
            </w:pPr>
          </w:p>
          <w:p w14:paraId="287BA6F3" w14:textId="3CD24B87" w:rsidR="00BA424E" w:rsidRPr="00BA424E" w:rsidRDefault="00BA424E" w:rsidP="00BA424E">
            <w:pPr>
              <w:pStyle w:val="ListParagraph"/>
              <w:numPr>
                <w:ilvl w:val="0"/>
                <w:numId w:val="3"/>
              </w:numPr>
              <w:rPr>
                <w:rFonts w:ascii="Century Gothic" w:hAnsi="Century Gothic"/>
                <w:sz w:val="18"/>
                <w:szCs w:val="18"/>
              </w:rPr>
            </w:pPr>
            <w:r w:rsidRPr="00BA424E">
              <w:rPr>
                <w:rFonts w:ascii="Century Gothic" w:hAnsi="Century Gothic"/>
                <w:sz w:val="18"/>
                <w:szCs w:val="18"/>
              </w:rPr>
              <w:t xml:space="preserve">Detailed in-school tracking shows progress in each year group – individual pupil’s progress and attainment discussed with parents at parents evening and through end of year reports – see summer cohort report </w:t>
            </w:r>
          </w:p>
          <w:p w14:paraId="2AC08E85" w14:textId="77777777" w:rsidR="00751EAB" w:rsidRDefault="00751EAB">
            <w:pPr>
              <w:spacing w:after="0" w:line="240" w:lineRule="auto"/>
              <w:rPr>
                <w:rFonts w:ascii="Century Gothic" w:hAnsi="Century Gothic"/>
              </w:rPr>
            </w:pPr>
          </w:p>
        </w:tc>
      </w:tr>
    </w:tbl>
    <w:p w14:paraId="001591AE" w14:textId="77777777" w:rsidR="00751EAB" w:rsidRDefault="00751EAB"/>
    <w:sectPr w:rsidR="00751EAB" w:rsidSect="007C4F6D">
      <w:pgSz w:w="16838" w:h="11906" w:orient="landscape"/>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9638B"/>
    <w:multiLevelType w:val="hybridMultilevel"/>
    <w:tmpl w:val="337A18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4BC5E8D"/>
    <w:multiLevelType w:val="multilevel"/>
    <w:tmpl w:val="1AFCAEAA"/>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 w15:restartNumberingAfterBreak="0">
    <w:nsid w:val="0D842D6A"/>
    <w:multiLevelType w:val="multilevel"/>
    <w:tmpl w:val="D00C010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64711494"/>
    <w:multiLevelType w:val="multilevel"/>
    <w:tmpl w:val="4C46825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7B6A58E5"/>
    <w:multiLevelType w:val="multilevel"/>
    <w:tmpl w:val="1C4E46A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0"/>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EAB"/>
    <w:rsid w:val="001D295C"/>
    <w:rsid w:val="00254233"/>
    <w:rsid w:val="00397E61"/>
    <w:rsid w:val="004439F5"/>
    <w:rsid w:val="00454CEB"/>
    <w:rsid w:val="004D25C5"/>
    <w:rsid w:val="00593D7E"/>
    <w:rsid w:val="005A5C62"/>
    <w:rsid w:val="00656127"/>
    <w:rsid w:val="006E4F6F"/>
    <w:rsid w:val="00737942"/>
    <w:rsid w:val="00740C13"/>
    <w:rsid w:val="00751EAB"/>
    <w:rsid w:val="007B3387"/>
    <w:rsid w:val="007C4F6D"/>
    <w:rsid w:val="00912A40"/>
    <w:rsid w:val="00964E9C"/>
    <w:rsid w:val="009B1E5B"/>
    <w:rsid w:val="009D079C"/>
    <w:rsid w:val="00A804E2"/>
    <w:rsid w:val="00BA424E"/>
    <w:rsid w:val="00BB4DDC"/>
    <w:rsid w:val="00C76CF9"/>
    <w:rsid w:val="00E0301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C5D9E"/>
  <w15:docId w15:val="{8521C73B-D41A-43A6-A41D-A984F96B0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C4F6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1E311E"/>
    <w:rPr>
      <w:rFonts w:ascii="Tahoma" w:hAnsi="Tahoma" w:cs="Tahoma"/>
      <w:sz w:val="16"/>
      <w:szCs w:val="16"/>
    </w:rPr>
  </w:style>
  <w:style w:type="character" w:customStyle="1" w:styleId="InternetLink">
    <w:name w:val="Internet Link"/>
    <w:uiPriority w:val="99"/>
    <w:unhideWhenUsed/>
    <w:rsid w:val="0056436D"/>
    <w:rPr>
      <w:color w:val="0000FF"/>
      <w:u w:val="single"/>
    </w:rPr>
  </w:style>
  <w:style w:type="character" w:customStyle="1" w:styleId="HeaderChar">
    <w:name w:val="Header Char"/>
    <w:basedOn w:val="DefaultParagraphFont"/>
    <w:link w:val="Header"/>
    <w:uiPriority w:val="99"/>
    <w:qFormat/>
    <w:rsid w:val="00F211FB"/>
  </w:style>
  <w:style w:type="character" w:customStyle="1" w:styleId="FooterChar">
    <w:name w:val="Footer Char"/>
    <w:basedOn w:val="DefaultParagraphFont"/>
    <w:link w:val="Footer"/>
    <w:uiPriority w:val="99"/>
    <w:qFormat/>
    <w:rsid w:val="00F211FB"/>
  </w:style>
  <w:style w:type="character" w:customStyle="1" w:styleId="ListLabel1">
    <w:name w:val="ListLabel 1"/>
    <w:qFormat/>
    <w:rsid w:val="007C4F6D"/>
    <w:rPr>
      <w:rFonts w:cs="Courier New"/>
    </w:rPr>
  </w:style>
  <w:style w:type="character" w:customStyle="1" w:styleId="ListLabel2">
    <w:name w:val="ListLabel 2"/>
    <w:qFormat/>
    <w:rsid w:val="007C4F6D"/>
    <w:rPr>
      <w:rFonts w:cs="Courier New"/>
    </w:rPr>
  </w:style>
  <w:style w:type="character" w:customStyle="1" w:styleId="ListLabel3">
    <w:name w:val="ListLabel 3"/>
    <w:qFormat/>
    <w:rsid w:val="007C4F6D"/>
    <w:rPr>
      <w:rFonts w:cs="Courier New"/>
    </w:rPr>
  </w:style>
  <w:style w:type="paragraph" w:customStyle="1" w:styleId="Heading">
    <w:name w:val="Heading"/>
    <w:basedOn w:val="Normal"/>
    <w:next w:val="BodyText"/>
    <w:qFormat/>
    <w:rsid w:val="007C4F6D"/>
    <w:pPr>
      <w:keepNext/>
      <w:spacing w:before="240" w:after="120"/>
    </w:pPr>
    <w:rPr>
      <w:rFonts w:ascii="Liberation Sans" w:eastAsia="Microsoft YaHei" w:hAnsi="Liberation Sans" w:cs="Arial"/>
      <w:sz w:val="28"/>
      <w:szCs w:val="28"/>
    </w:rPr>
  </w:style>
  <w:style w:type="paragraph" w:styleId="BodyText">
    <w:name w:val="Body Text"/>
    <w:basedOn w:val="Normal"/>
    <w:rsid w:val="007C4F6D"/>
    <w:pPr>
      <w:spacing w:after="140" w:line="288" w:lineRule="auto"/>
    </w:pPr>
  </w:style>
  <w:style w:type="paragraph" w:styleId="List">
    <w:name w:val="List"/>
    <w:basedOn w:val="BodyText"/>
    <w:rsid w:val="007C4F6D"/>
    <w:rPr>
      <w:rFonts w:cs="Arial"/>
    </w:rPr>
  </w:style>
  <w:style w:type="paragraph" w:styleId="Caption">
    <w:name w:val="caption"/>
    <w:basedOn w:val="Normal"/>
    <w:qFormat/>
    <w:rsid w:val="007C4F6D"/>
    <w:pPr>
      <w:suppressLineNumbers/>
      <w:spacing w:before="120" w:after="120"/>
    </w:pPr>
    <w:rPr>
      <w:rFonts w:cs="Arial"/>
      <w:i/>
      <w:iCs/>
      <w:sz w:val="24"/>
      <w:szCs w:val="24"/>
    </w:rPr>
  </w:style>
  <w:style w:type="paragraph" w:customStyle="1" w:styleId="Index">
    <w:name w:val="Index"/>
    <w:basedOn w:val="Normal"/>
    <w:qFormat/>
    <w:rsid w:val="007C4F6D"/>
    <w:pPr>
      <w:suppressLineNumbers/>
    </w:pPr>
    <w:rPr>
      <w:rFonts w:cs="Arial"/>
    </w:rPr>
  </w:style>
  <w:style w:type="paragraph" w:styleId="BalloonText">
    <w:name w:val="Balloon Text"/>
    <w:basedOn w:val="Normal"/>
    <w:link w:val="BalloonTextChar"/>
    <w:uiPriority w:val="99"/>
    <w:semiHidden/>
    <w:unhideWhenUsed/>
    <w:qFormat/>
    <w:rsid w:val="001E311E"/>
    <w:pPr>
      <w:spacing w:after="0" w:line="240" w:lineRule="auto"/>
    </w:pPr>
    <w:rPr>
      <w:rFonts w:ascii="Tahoma" w:hAnsi="Tahoma" w:cs="Tahoma"/>
      <w:sz w:val="16"/>
      <w:szCs w:val="16"/>
    </w:rPr>
  </w:style>
  <w:style w:type="paragraph" w:styleId="ListParagraph">
    <w:name w:val="List Paragraph"/>
    <w:basedOn w:val="Normal"/>
    <w:uiPriority w:val="34"/>
    <w:qFormat/>
    <w:rsid w:val="00C04244"/>
    <w:pPr>
      <w:spacing w:after="0" w:line="240" w:lineRule="auto"/>
      <w:ind w:left="720"/>
    </w:pPr>
    <w:rPr>
      <w:rFonts w:ascii="Calibri" w:eastAsia="Calibri" w:hAnsi="Calibri" w:cs="Times New Roman"/>
    </w:rPr>
  </w:style>
  <w:style w:type="paragraph" w:customStyle="1" w:styleId="Default">
    <w:name w:val="Default"/>
    <w:qFormat/>
    <w:rsid w:val="0056436D"/>
    <w:rPr>
      <w:rFonts w:ascii="Arial" w:eastAsia="Calibri" w:hAnsi="Arial" w:cs="Arial"/>
      <w:color w:val="000000"/>
      <w:sz w:val="24"/>
      <w:szCs w:val="24"/>
    </w:rPr>
  </w:style>
  <w:style w:type="paragraph" w:styleId="Header">
    <w:name w:val="header"/>
    <w:basedOn w:val="Normal"/>
    <w:link w:val="HeaderChar"/>
    <w:uiPriority w:val="99"/>
    <w:unhideWhenUsed/>
    <w:rsid w:val="00F211FB"/>
    <w:pPr>
      <w:tabs>
        <w:tab w:val="center" w:pos="4513"/>
        <w:tab w:val="right" w:pos="9026"/>
      </w:tabs>
      <w:spacing w:after="0" w:line="240" w:lineRule="auto"/>
    </w:pPr>
  </w:style>
  <w:style w:type="paragraph" w:styleId="Footer">
    <w:name w:val="footer"/>
    <w:basedOn w:val="Normal"/>
    <w:link w:val="FooterChar"/>
    <w:uiPriority w:val="99"/>
    <w:unhideWhenUsed/>
    <w:rsid w:val="00F211FB"/>
    <w:pPr>
      <w:tabs>
        <w:tab w:val="center" w:pos="4513"/>
        <w:tab w:val="right" w:pos="9026"/>
      </w:tabs>
      <w:spacing w:after="0" w:line="240" w:lineRule="auto"/>
    </w:pPr>
  </w:style>
  <w:style w:type="table" w:styleId="TableGrid">
    <w:name w:val="Table Grid"/>
    <w:basedOn w:val="TableNormal"/>
    <w:uiPriority w:val="59"/>
    <w:rsid w:val="00707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3F54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9976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413197/The_Pupil_Premium_-_How_schools_are_spending_the_funding.pdf" TargetMode="External"/><Relationship Id="rId3" Type="http://schemas.openxmlformats.org/officeDocument/2006/relationships/settings" Target="settings.xml"/><Relationship Id="rId7" Type="http://schemas.openxmlformats.org/officeDocument/2006/relationships/hyperlink" Target="https://www.nfer.ac.uk/publications/PUPP01/PUPP01_home.cf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ucationendowmentfoundation.org.uk/evidence/teaching-learning-toolkit"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overnment/publications/the-pupil-premium-an-upd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1263</Words>
  <Characters>7201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Oreilly</dc:creator>
  <cp:lastModifiedBy>Anne Hodgson (St Julies)</cp:lastModifiedBy>
  <cp:revision>3</cp:revision>
  <cp:lastPrinted>2019-11-25T08:59:00Z</cp:lastPrinted>
  <dcterms:created xsi:type="dcterms:W3CDTF">2021-09-11T18:29:00Z</dcterms:created>
  <dcterms:modified xsi:type="dcterms:W3CDTF">2021-11-02T11:54:00Z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4</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