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FABEEC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9C1A2DF" w:rsidR="00E66558" w:rsidRPr="000F3430" w:rsidRDefault="0087167C">
      <w:pPr>
        <w:pStyle w:val="Heading2"/>
        <w:rPr>
          <w:rFonts w:asciiTheme="minorHAnsi" w:hAnsiTheme="minorHAnsi" w:cstheme="minorHAnsi"/>
          <w:b w:val="0"/>
          <w:bCs/>
          <w:color w:val="auto"/>
          <w:sz w:val="24"/>
          <w:szCs w:val="24"/>
        </w:rPr>
      </w:pPr>
      <w:r>
        <w:rPr>
          <w:rFonts w:asciiTheme="minorHAnsi" w:hAnsiTheme="minorHAnsi" w:cstheme="minorHAnsi"/>
          <w:b w:val="0"/>
          <w:bCs/>
          <w:color w:val="auto"/>
          <w:sz w:val="24"/>
          <w:szCs w:val="24"/>
        </w:rPr>
        <w:t>This</w:t>
      </w:r>
      <w:r w:rsidR="009924E5">
        <w:rPr>
          <w:rFonts w:asciiTheme="minorHAnsi" w:hAnsiTheme="minorHAnsi" w:cstheme="minorHAnsi"/>
          <w:b w:val="0"/>
          <w:bCs/>
          <w:color w:val="auto"/>
          <w:sz w:val="24"/>
          <w:szCs w:val="24"/>
        </w:rPr>
        <w:t xml:space="preserve"> </w:t>
      </w:r>
      <w:r>
        <w:rPr>
          <w:rFonts w:asciiTheme="minorHAnsi" w:hAnsiTheme="minorHAnsi" w:cstheme="minorHAnsi"/>
          <w:b w:val="0"/>
          <w:bCs/>
          <w:color w:val="auto"/>
          <w:sz w:val="24"/>
          <w:szCs w:val="24"/>
        </w:rPr>
        <w:t xml:space="preserve">statement details our </w:t>
      </w:r>
      <w:r w:rsidR="009D71E8" w:rsidRPr="000F3430">
        <w:rPr>
          <w:rFonts w:asciiTheme="minorHAnsi" w:hAnsiTheme="minorHAnsi" w:cstheme="minorHAnsi"/>
          <w:b w:val="0"/>
          <w:bCs/>
          <w:color w:val="auto"/>
          <w:sz w:val="24"/>
          <w:szCs w:val="24"/>
        </w:rPr>
        <w:t xml:space="preserve">school’s use of pupil premium (and recovery premium for the 2021 to 2022 academic year) funding to help improve the attainment of our disadvantaged pupils. </w:t>
      </w:r>
    </w:p>
    <w:p w14:paraId="2A7D54B3" w14:textId="77777777" w:rsidR="00E66558" w:rsidRPr="000F3430" w:rsidRDefault="009D71E8">
      <w:pPr>
        <w:pStyle w:val="Heading2"/>
        <w:spacing w:before="240"/>
        <w:rPr>
          <w:rFonts w:asciiTheme="minorHAnsi" w:hAnsiTheme="minorHAnsi" w:cstheme="minorHAnsi"/>
          <w:b w:val="0"/>
          <w:bCs/>
          <w:color w:val="auto"/>
          <w:sz w:val="24"/>
          <w:szCs w:val="24"/>
        </w:rPr>
      </w:pPr>
      <w:r w:rsidRPr="000F3430">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D693003"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1"/>
        <w:gridCol w:w="4559"/>
      </w:tblGrid>
      <w:tr w:rsidR="00E66558" w14:paraId="2A7D54B7" w14:textId="77777777" w:rsidTr="000F3430">
        <w:tc>
          <w:tcPr>
            <w:tcW w:w="651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5" w14:textId="77777777" w:rsidR="00E66558" w:rsidRDefault="009D71E8">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6" w14:textId="77777777" w:rsidR="00E66558" w:rsidRDefault="009D71E8">
            <w:pPr>
              <w:pStyle w:val="TableHeader"/>
              <w:jc w:val="left"/>
            </w:pPr>
            <w:r>
              <w:t>Data</w:t>
            </w:r>
          </w:p>
        </w:tc>
      </w:tr>
      <w:tr w:rsidR="00E27862" w:rsidRPr="00E27862" w14:paraId="2A7D54BA"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E27862" w:rsidRDefault="009D71E8">
            <w:pPr>
              <w:pStyle w:val="TableRow"/>
              <w:rPr>
                <w:color w:val="auto"/>
              </w:rPr>
            </w:pPr>
            <w:r w:rsidRPr="00E27862">
              <w:rPr>
                <w:color w:val="auto"/>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A59A280" w:rsidR="00E66558" w:rsidRPr="00E27862" w:rsidRDefault="000F3430">
            <w:pPr>
              <w:pStyle w:val="TableRow"/>
              <w:rPr>
                <w:color w:val="auto"/>
              </w:rPr>
            </w:pPr>
            <w:r>
              <w:rPr>
                <w:color w:val="auto"/>
              </w:rPr>
              <w:t>Saughall All Saints</w:t>
            </w:r>
          </w:p>
        </w:tc>
      </w:tr>
      <w:tr w:rsidR="00E27862" w:rsidRPr="00E27862"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29210D6" w:rsidR="00E66558" w:rsidRPr="00E27862" w:rsidRDefault="00C70917">
            <w:pPr>
              <w:pStyle w:val="TableRow"/>
              <w:rPr>
                <w:color w:val="auto"/>
              </w:rPr>
            </w:pPr>
            <w:r>
              <w:rPr>
                <w:color w:val="auto"/>
              </w:rPr>
              <w:t>262</w:t>
            </w:r>
          </w:p>
        </w:tc>
      </w:tr>
      <w:tr w:rsidR="00E27862" w:rsidRPr="00E27862"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6B906AE" w:rsidR="00E66558" w:rsidRPr="000F3430" w:rsidRDefault="00235412">
            <w:pPr>
              <w:pStyle w:val="TableRow"/>
              <w:rPr>
                <w:color w:val="auto"/>
                <w:highlight w:val="yellow"/>
              </w:rPr>
            </w:pPr>
            <w:r>
              <w:rPr>
                <w:color w:val="auto"/>
              </w:rPr>
              <w:t>11</w:t>
            </w:r>
            <w:r w:rsidR="00755D22" w:rsidRPr="00235412">
              <w:rPr>
                <w:color w:val="auto"/>
              </w:rPr>
              <w:t>%</w:t>
            </w:r>
          </w:p>
        </w:tc>
      </w:tr>
      <w:tr w:rsidR="00E27862" w:rsidRPr="00E27862"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DC649D">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9765093" w:rsidR="00285516" w:rsidRPr="00E27862" w:rsidRDefault="00755D22">
            <w:pPr>
              <w:pStyle w:val="TableRow"/>
              <w:rPr>
                <w:color w:val="auto"/>
              </w:rPr>
            </w:pPr>
            <w:r w:rsidRPr="00E27862">
              <w:rPr>
                <w:color w:val="auto"/>
              </w:rPr>
              <w:t>2021</w:t>
            </w:r>
            <w:r w:rsidR="003061EC" w:rsidRPr="00E27862">
              <w:rPr>
                <w:color w:val="auto"/>
              </w:rPr>
              <w:t>/</w:t>
            </w:r>
            <w:r w:rsidR="00285516" w:rsidRPr="00E27862">
              <w:rPr>
                <w:color w:val="auto"/>
              </w:rPr>
              <w:t xml:space="preserve">2022 to </w:t>
            </w:r>
          </w:p>
          <w:p w14:paraId="2A7D54C2" w14:textId="1326A4E4" w:rsidR="00E66558" w:rsidRPr="00E27862" w:rsidRDefault="00755D22">
            <w:pPr>
              <w:pStyle w:val="TableRow"/>
              <w:rPr>
                <w:color w:val="auto"/>
              </w:rPr>
            </w:pPr>
            <w:r w:rsidRPr="00E27862">
              <w:rPr>
                <w:color w:val="auto"/>
              </w:rPr>
              <w:t>2024</w:t>
            </w:r>
            <w:r w:rsidR="003061EC" w:rsidRPr="00E27862">
              <w:rPr>
                <w:color w:val="auto"/>
              </w:rPr>
              <w:t>/</w:t>
            </w:r>
            <w:r w:rsidR="00285516" w:rsidRPr="00E27862">
              <w:rPr>
                <w:color w:val="auto"/>
              </w:rPr>
              <w:t>2025</w:t>
            </w:r>
          </w:p>
        </w:tc>
      </w:tr>
      <w:tr w:rsidR="00E27862" w:rsidRPr="00E27862"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0B5DC35" w:rsidR="00E66558" w:rsidRPr="00E27862" w:rsidRDefault="00772D78">
            <w:pPr>
              <w:pStyle w:val="TableRow"/>
              <w:rPr>
                <w:color w:val="auto"/>
              </w:rPr>
            </w:pPr>
            <w:r w:rsidRPr="00E27862">
              <w:rPr>
                <w:color w:val="auto"/>
              </w:rPr>
              <w:t>Dece</w:t>
            </w:r>
            <w:r w:rsidR="00755D22" w:rsidRPr="00E27862">
              <w:rPr>
                <w:color w:val="auto"/>
              </w:rPr>
              <w:t>mber 2021</w:t>
            </w:r>
          </w:p>
        </w:tc>
      </w:tr>
      <w:tr w:rsidR="00E27862" w:rsidRPr="00E27862"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6085337" w:rsidR="00E66558" w:rsidRPr="00E27862" w:rsidRDefault="005D0176">
            <w:pPr>
              <w:pStyle w:val="TableRow"/>
              <w:rPr>
                <w:color w:val="auto"/>
              </w:rPr>
            </w:pPr>
            <w:r w:rsidRPr="00E27862">
              <w:rPr>
                <w:color w:val="auto"/>
              </w:rPr>
              <w:t>July 2022</w:t>
            </w:r>
          </w:p>
        </w:tc>
      </w:tr>
      <w:tr w:rsidR="00E27862" w:rsidRPr="00E27862"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0E5C1" w14:textId="77777777" w:rsidR="000F3430" w:rsidRDefault="000F3430" w:rsidP="000F3430">
            <w:pPr>
              <w:pStyle w:val="TableRow"/>
              <w:ind w:left="0"/>
              <w:rPr>
                <w:color w:val="auto"/>
              </w:rPr>
            </w:pPr>
            <w:r>
              <w:rPr>
                <w:color w:val="auto"/>
              </w:rPr>
              <w:t>Donna Prenton</w:t>
            </w:r>
          </w:p>
          <w:p w14:paraId="2A7D54CB" w14:textId="446A1EEB" w:rsidR="00E66558" w:rsidRPr="00E27862" w:rsidRDefault="005D0176" w:rsidP="000F3430">
            <w:pPr>
              <w:pStyle w:val="TableRow"/>
              <w:ind w:left="0"/>
              <w:rPr>
                <w:color w:val="auto"/>
              </w:rPr>
            </w:pPr>
            <w:r w:rsidRPr="00E27862">
              <w:rPr>
                <w:color w:val="auto"/>
              </w:rPr>
              <w:t>Headteacher</w:t>
            </w:r>
          </w:p>
        </w:tc>
      </w:tr>
      <w:tr w:rsidR="00E27862" w:rsidRPr="00E27862"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B4F6" w14:textId="77777777" w:rsidR="000F3430" w:rsidRPr="000F3430" w:rsidRDefault="000F3430" w:rsidP="00235412">
            <w:pPr>
              <w:pStyle w:val="TableRow"/>
              <w:ind w:left="0"/>
              <w:rPr>
                <w:color w:val="auto"/>
                <w:szCs w:val="28"/>
              </w:rPr>
            </w:pPr>
            <w:r w:rsidRPr="000F3430">
              <w:rPr>
                <w:color w:val="auto"/>
                <w:szCs w:val="28"/>
              </w:rPr>
              <w:t>Donna Prenton</w:t>
            </w:r>
          </w:p>
          <w:p w14:paraId="2A7D54CE" w14:textId="2D3BABA8" w:rsidR="00E66558" w:rsidRPr="000F3430" w:rsidRDefault="000F3430" w:rsidP="000F3430">
            <w:pPr>
              <w:pStyle w:val="TableRow"/>
              <w:ind w:left="0"/>
              <w:rPr>
                <w:color w:val="auto"/>
                <w:szCs w:val="28"/>
              </w:rPr>
            </w:pPr>
            <w:r w:rsidRPr="000F3430">
              <w:rPr>
                <w:color w:val="auto"/>
                <w:szCs w:val="28"/>
              </w:rPr>
              <w:t>Headteacher</w:t>
            </w:r>
          </w:p>
        </w:tc>
      </w:tr>
      <w:tr w:rsidR="00E27862" w:rsidRPr="00E27862"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A582DD9" w:rsidR="00E66558" w:rsidRPr="00E27862" w:rsidRDefault="009D71E8" w:rsidP="000F3430">
            <w:pPr>
              <w:pStyle w:val="TableRow"/>
              <w:rPr>
                <w:color w:val="auto"/>
              </w:rPr>
            </w:pPr>
            <w:r w:rsidRPr="00E27862">
              <w:rPr>
                <w:color w:val="auto"/>
              </w:rPr>
              <w:t xml:space="preserve">Governor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5B113BB" w:rsidR="00E66558" w:rsidRPr="00E27862" w:rsidRDefault="00235412" w:rsidP="00547948">
            <w:pPr>
              <w:pStyle w:val="TableRow"/>
              <w:rPr>
                <w:color w:val="auto"/>
                <w:szCs w:val="28"/>
              </w:rPr>
            </w:pPr>
            <w:r>
              <w:rPr>
                <w:color w:val="auto"/>
                <w:szCs w:val="28"/>
              </w:rPr>
              <w:t>Laura Coll</w:t>
            </w:r>
          </w:p>
        </w:tc>
      </w:tr>
      <w:bookmarkEnd w:id="2"/>
      <w:bookmarkEnd w:id="3"/>
      <w:bookmarkEnd w:id="4"/>
    </w:tbl>
    <w:p w14:paraId="01A7D011" w14:textId="77777777" w:rsidR="00C70917" w:rsidRDefault="00C70917">
      <w:pPr>
        <w:spacing w:before="480" w:line="240" w:lineRule="auto"/>
        <w:rPr>
          <w:b/>
          <w:color w:val="auto"/>
          <w:sz w:val="32"/>
          <w:szCs w:val="32"/>
        </w:rPr>
      </w:pPr>
    </w:p>
    <w:p w14:paraId="2A7D54D3" w14:textId="3F92E6AA" w:rsidR="00E66558" w:rsidRPr="00E27862" w:rsidRDefault="009D71E8">
      <w:pPr>
        <w:spacing w:before="480" w:line="240" w:lineRule="auto"/>
        <w:rPr>
          <w:b/>
          <w:color w:val="auto"/>
          <w:sz w:val="32"/>
          <w:szCs w:val="32"/>
        </w:rPr>
      </w:pPr>
      <w:r w:rsidRPr="00E27862">
        <w:rPr>
          <w:b/>
          <w:color w:val="auto"/>
          <w:sz w:val="32"/>
          <w:szCs w:val="32"/>
        </w:rPr>
        <w:lastRenderedPageBreak/>
        <w:t>Funding overview</w:t>
      </w:r>
    </w:p>
    <w:tbl>
      <w:tblPr>
        <w:tblW w:w="14454" w:type="dxa"/>
        <w:tblCellMar>
          <w:left w:w="10" w:type="dxa"/>
          <w:right w:w="10" w:type="dxa"/>
        </w:tblCellMar>
        <w:tblLook w:val="04A0" w:firstRow="1" w:lastRow="0" w:firstColumn="1" w:lastColumn="0" w:noHBand="0" w:noVBand="1"/>
      </w:tblPr>
      <w:tblGrid>
        <w:gridCol w:w="12469"/>
        <w:gridCol w:w="1985"/>
      </w:tblGrid>
      <w:tr w:rsidR="00E27862" w:rsidRPr="00E27862" w14:paraId="2A7D54D6"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pPr>
              <w:pStyle w:val="TableRow"/>
              <w:rPr>
                <w:color w:val="auto"/>
              </w:rPr>
            </w:pPr>
            <w:r w:rsidRPr="00E27862">
              <w:rPr>
                <w:b/>
                <w:color w:val="auto"/>
              </w:rPr>
              <w:t>Detail</w:t>
            </w:r>
          </w:p>
        </w:tc>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pPr>
              <w:pStyle w:val="TableRow"/>
              <w:rPr>
                <w:color w:val="auto"/>
              </w:rPr>
            </w:pPr>
            <w:r w:rsidRPr="00E27862">
              <w:rPr>
                <w:b/>
                <w:color w:val="auto"/>
              </w:rPr>
              <w:t>Amount</w:t>
            </w:r>
          </w:p>
        </w:tc>
      </w:tr>
      <w:tr w:rsidR="00E27862" w:rsidRPr="00E27862" w14:paraId="2A7D54D9"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pPr>
              <w:pStyle w:val="TableRow"/>
              <w:rPr>
                <w:color w:val="auto"/>
              </w:rPr>
            </w:pPr>
            <w:r w:rsidRPr="00E27862">
              <w:rPr>
                <w:color w:val="auto"/>
              </w:rPr>
              <w:t>Pupil premium funding allocation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69F2DF3" w:rsidR="00E66558" w:rsidRPr="00E27862" w:rsidRDefault="009D71E8">
            <w:pPr>
              <w:pStyle w:val="TableRow"/>
              <w:rPr>
                <w:color w:val="auto"/>
              </w:rPr>
            </w:pPr>
            <w:r w:rsidRPr="00E27862">
              <w:rPr>
                <w:color w:val="auto"/>
              </w:rPr>
              <w:t>£</w:t>
            </w:r>
            <w:r w:rsidR="00324908">
              <w:rPr>
                <w:color w:val="auto"/>
              </w:rPr>
              <w:t>42,970</w:t>
            </w:r>
          </w:p>
        </w:tc>
      </w:tr>
      <w:tr w:rsidR="00E27862" w:rsidRPr="00E27862" w14:paraId="2A7D54DC"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pPr>
              <w:pStyle w:val="TableRow"/>
              <w:rPr>
                <w:color w:val="auto"/>
              </w:rPr>
            </w:pPr>
            <w:r w:rsidRPr="00E27862">
              <w:rPr>
                <w:color w:val="auto"/>
              </w:rPr>
              <w:t>Recovery premium funding allocation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7AE71D2" w:rsidR="00E66558" w:rsidRPr="00E27862" w:rsidRDefault="009D71E8">
            <w:pPr>
              <w:pStyle w:val="TableRow"/>
              <w:rPr>
                <w:color w:val="auto"/>
              </w:rPr>
            </w:pPr>
            <w:r w:rsidRPr="00E27862">
              <w:rPr>
                <w:color w:val="auto"/>
              </w:rPr>
              <w:t>£</w:t>
            </w:r>
            <w:r w:rsidR="00324908">
              <w:rPr>
                <w:color w:val="auto"/>
              </w:rPr>
              <w:t xml:space="preserve"> 2,030</w:t>
            </w:r>
          </w:p>
        </w:tc>
      </w:tr>
      <w:tr w:rsidR="00E27862" w:rsidRPr="00E27862" w14:paraId="2A7D54DF"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E27862" w:rsidRDefault="009D71E8">
            <w:pPr>
              <w:pStyle w:val="TableRow"/>
              <w:rPr>
                <w:color w:val="auto"/>
              </w:rPr>
            </w:pPr>
            <w:r w:rsidRPr="00E27862">
              <w:rPr>
                <w:color w:val="auto"/>
              </w:rPr>
              <w:t>Pupil premium funding carried forward from previous years (enter £0 if not 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2960D83" w:rsidR="00E66558" w:rsidRPr="00E27862" w:rsidRDefault="009D71E8">
            <w:pPr>
              <w:pStyle w:val="TableRow"/>
              <w:rPr>
                <w:color w:val="auto"/>
              </w:rPr>
            </w:pPr>
            <w:r w:rsidRPr="00E27862">
              <w:rPr>
                <w:color w:val="auto"/>
              </w:rPr>
              <w:t>£</w:t>
            </w:r>
            <w:r w:rsidR="000F3430">
              <w:rPr>
                <w:color w:val="auto"/>
              </w:rPr>
              <w:t>0</w:t>
            </w:r>
          </w:p>
        </w:tc>
      </w:tr>
      <w:tr w:rsidR="00E27862" w:rsidRPr="00E27862" w14:paraId="2A7D54E3" w14:textId="77777777" w:rsidTr="007D464C">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pPr>
              <w:pStyle w:val="TableRow"/>
              <w:rPr>
                <w:b/>
                <w:color w:val="auto"/>
              </w:rPr>
            </w:pPr>
            <w:r w:rsidRPr="00E27862">
              <w:rPr>
                <w:b/>
                <w:color w:val="auto"/>
              </w:rPr>
              <w:t>Total budget for this academic year</w:t>
            </w:r>
          </w:p>
          <w:p w14:paraId="2A7D54E1" w14:textId="77777777" w:rsidR="00E66558" w:rsidRPr="00E27862" w:rsidRDefault="009D71E8">
            <w:pPr>
              <w:pStyle w:val="TableRow"/>
              <w:rPr>
                <w:color w:val="auto"/>
              </w:rPr>
            </w:pPr>
            <w:r w:rsidRPr="00E27862">
              <w:rPr>
                <w:color w:val="auto"/>
              </w:rPr>
              <w:t>If your school is an academy in a trust that pools this funding, state the amount available to your school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8995A1E" w:rsidR="00E66558" w:rsidRPr="00E27862" w:rsidRDefault="009D71E8">
            <w:pPr>
              <w:pStyle w:val="TableRow"/>
              <w:rPr>
                <w:color w:val="auto"/>
              </w:rPr>
            </w:pPr>
            <w:r w:rsidRPr="00E27862">
              <w:rPr>
                <w:color w:val="auto"/>
              </w:rPr>
              <w:t>£</w:t>
            </w:r>
            <w:r w:rsidR="00324908">
              <w:rPr>
                <w:color w:val="auto"/>
              </w:rPr>
              <w:t>45,000</w:t>
            </w:r>
          </w:p>
        </w:tc>
      </w:tr>
    </w:tbl>
    <w:p w14:paraId="2A7D54E4" w14:textId="5F317C7A" w:rsidR="00E66558" w:rsidRDefault="009D71E8">
      <w:pPr>
        <w:pStyle w:val="Heading1"/>
      </w:pPr>
      <w:r>
        <w:lastRenderedPageBreak/>
        <w:t>Pupil premium strategy plan</w:t>
      </w:r>
    </w:p>
    <w:p w14:paraId="2A7D54E5" w14:textId="77777777" w:rsidR="00E66558" w:rsidRDefault="009D71E8">
      <w:pPr>
        <w:pStyle w:val="Heading2"/>
      </w:pPr>
      <w:bookmarkStart w:id="14" w:name="_Toc357771640"/>
      <w:bookmarkStart w:id="15" w:name="_Toc346793418"/>
      <w:r>
        <w:t>Statement of intent</w:t>
      </w:r>
    </w:p>
    <w:tbl>
      <w:tblPr>
        <w:tblW w:w="14885" w:type="dxa"/>
        <w:tblInd w:w="-289" w:type="dxa"/>
        <w:tblCellMar>
          <w:left w:w="10" w:type="dxa"/>
          <w:right w:w="10" w:type="dxa"/>
        </w:tblCellMar>
        <w:tblLook w:val="04A0" w:firstRow="1" w:lastRow="0" w:firstColumn="1" w:lastColumn="0" w:noHBand="0" w:noVBand="1"/>
      </w:tblPr>
      <w:tblGrid>
        <w:gridCol w:w="14885"/>
      </w:tblGrid>
      <w:tr w:rsidR="00E66558" w14:paraId="2A7D54EA" w14:textId="77777777" w:rsidTr="007D464C">
        <w:tc>
          <w:tcPr>
            <w:tcW w:w="1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ABC3F" w14:textId="77777777" w:rsidR="00226C3B" w:rsidRPr="00226C3B" w:rsidRDefault="00C009DA" w:rsidP="0087167C">
            <w:pPr>
              <w:spacing w:before="120"/>
              <w:rPr>
                <w:rFonts w:asciiTheme="minorHAnsi" w:hAnsiTheme="minorHAnsi" w:cstheme="minorHAnsi"/>
                <w:b/>
                <w:iCs/>
                <w:color w:val="auto"/>
              </w:rPr>
            </w:pPr>
            <w:r w:rsidRPr="00324908">
              <w:rPr>
                <w:rFonts w:asciiTheme="minorHAnsi" w:hAnsiTheme="minorHAnsi" w:cstheme="minorHAnsi"/>
                <w:iCs/>
                <w:color w:val="auto"/>
              </w:rPr>
              <w:t xml:space="preserve">Our intention is that all pupils, irrespective of their background or the challenges they face, make good progress and achieve high attainment across all subject areas. </w:t>
            </w:r>
            <w:r w:rsidR="00742FDB" w:rsidRPr="00324908">
              <w:rPr>
                <w:rFonts w:asciiTheme="minorHAnsi" w:hAnsiTheme="minorHAnsi" w:cstheme="minorHAnsi"/>
                <w:iCs/>
                <w:color w:val="auto"/>
                <w:lang w:val="en-US"/>
              </w:rPr>
              <w:t xml:space="preserve">The focus of our pupil premium strategy is to support disadvantaged pupils to achieve that goal, including progress for those who are already high attainers. </w:t>
            </w:r>
          </w:p>
          <w:p w14:paraId="1E957B0B" w14:textId="1644AAAC" w:rsidR="00742FDB" w:rsidRPr="00324908" w:rsidRDefault="00742FDB" w:rsidP="00324908">
            <w:pPr>
              <w:spacing w:before="120" w:line="240" w:lineRule="auto"/>
              <w:rPr>
                <w:rFonts w:asciiTheme="minorHAnsi" w:hAnsiTheme="minorHAnsi" w:cstheme="minorHAnsi"/>
                <w:iCs/>
                <w:color w:val="auto"/>
              </w:rPr>
            </w:pPr>
            <w:r w:rsidRPr="00324908">
              <w:rPr>
                <w:rFonts w:asciiTheme="minorHAnsi" w:hAnsiTheme="minorHAnsi" w:cstheme="minorHAnsi"/>
                <w:iCs/>
                <w:color w:val="auto"/>
                <w:lang w:val="en-US"/>
              </w:rPr>
              <w:t>We will</w:t>
            </w:r>
            <w:r w:rsidR="00C07F5E" w:rsidRPr="00324908">
              <w:rPr>
                <w:rFonts w:asciiTheme="minorHAnsi" w:hAnsiTheme="minorHAnsi" w:cstheme="minorHAnsi"/>
                <w:iCs/>
                <w:color w:val="auto"/>
                <w:lang w:val="en-US"/>
              </w:rPr>
              <w:t xml:space="preserve"> </w:t>
            </w:r>
            <w:r w:rsidRPr="00324908">
              <w:rPr>
                <w:rFonts w:asciiTheme="minorHAnsi" w:hAnsiTheme="minorHAnsi" w:cstheme="minorHAnsi"/>
                <w:iCs/>
                <w:color w:val="auto"/>
                <w:lang w:val="en-US"/>
              </w:rPr>
              <w:t xml:space="preserve">consider the challenges faced by vulnerable pupils, such as those who have a social worker and young carers. The activity we have outlined in this statement is </w:t>
            </w:r>
            <w:r w:rsidR="00C07F5E" w:rsidRPr="00324908">
              <w:rPr>
                <w:rFonts w:asciiTheme="minorHAnsi" w:hAnsiTheme="minorHAnsi" w:cstheme="minorHAnsi"/>
                <w:iCs/>
                <w:color w:val="auto"/>
                <w:lang w:val="en-US"/>
              </w:rPr>
              <w:t xml:space="preserve">also </w:t>
            </w:r>
            <w:r w:rsidRPr="00324908">
              <w:rPr>
                <w:rFonts w:asciiTheme="minorHAnsi" w:hAnsiTheme="minorHAnsi" w:cstheme="minorHAnsi"/>
                <w:iCs/>
                <w:color w:val="auto"/>
                <w:lang w:val="en-US"/>
              </w:rPr>
              <w:t>intended to support their needs, regardless of whether they are disadvantaged</w:t>
            </w:r>
            <w:r w:rsidR="00365A4C" w:rsidRPr="00324908">
              <w:rPr>
                <w:rFonts w:asciiTheme="minorHAnsi" w:hAnsiTheme="minorHAnsi" w:cstheme="minorHAnsi"/>
                <w:iCs/>
                <w:color w:val="auto"/>
                <w:lang w:val="en-US"/>
              </w:rPr>
              <w:t xml:space="preserve"> or not</w:t>
            </w:r>
            <w:r w:rsidRPr="00324908">
              <w:rPr>
                <w:rFonts w:asciiTheme="minorHAnsi" w:hAnsiTheme="minorHAnsi" w:cstheme="minorHAnsi"/>
                <w:iCs/>
                <w:color w:val="auto"/>
                <w:lang w:val="en-US"/>
              </w:rPr>
              <w:t>.</w:t>
            </w:r>
          </w:p>
          <w:p w14:paraId="3BAE372F" w14:textId="6F068A4E" w:rsidR="00C009DA" w:rsidRPr="00324908" w:rsidRDefault="00C009DA" w:rsidP="00324908">
            <w:pPr>
              <w:spacing w:line="240" w:lineRule="auto"/>
              <w:rPr>
                <w:rFonts w:asciiTheme="minorHAnsi" w:hAnsiTheme="minorHAnsi" w:cstheme="minorHAnsi"/>
                <w:iCs/>
                <w:color w:val="auto"/>
                <w:lang w:val="en-US"/>
              </w:rPr>
            </w:pPr>
            <w:r w:rsidRPr="00324908">
              <w:rPr>
                <w:rFonts w:asciiTheme="minorHAnsi" w:hAnsiTheme="minorHAnsi" w:cstheme="minorHAnsi"/>
                <w:iCs/>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0F92D632" w14:textId="09838850" w:rsidR="00B34469" w:rsidRPr="00324908" w:rsidRDefault="00B34469" w:rsidP="00324908">
            <w:pPr>
              <w:spacing w:line="240" w:lineRule="auto"/>
              <w:rPr>
                <w:rFonts w:asciiTheme="minorHAnsi" w:hAnsiTheme="minorHAnsi" w:cstheme="minorHAnsi"/>
                <w:color w:val="auto"/>
              </w:rPr>
            </w:pPr>
            <w:r w:rsidRPr="00324908">
              <w:rPr>
                <w:rFonts w:asciiTheme="minorHAnsi" w:hAnsiTheme="minorHAnsi" w:cstheme="minorHAnsi"/>
                <w:color w:val="auto"/>
              </w:rPr>
              <w:t>Our strategy is also integral to wider school plans for education recovery, notably</w:t>
            </w:r>
            <w:r w:rsidR="000E5753" w:rsidRPr="00324908">
              <w:rPr>
                <w:rFonts w:asciiTheme="minorHAnsi" w:hAnsiTheme="minorHAnsi" w:cstheme="minorHAnsi"/>
                <w:color w:val="auto"/>
              </w:rPr>
              <w:t xml:space="preserve"> </w:t>
            </w:r>
            <w:r w:rsidR="00711F27" w:rsidRPr="00324908">
              <w:rPr>
                <w:rFonts w:asciiTheme="minorHAnsi" w:hAnsiTheme="minorHAnsi" w:cstheme="minorHAnsi"/>
                <w:color w:val="auto"/>
              </w:rPr>
              <w:t>in its</w:t>
            </w:r>
            <w:r w:rsidR="000E5753" w:rsidRPr="00324908">
              <w:rPr>
                <w:rFonts w:asciiTheme="minorHAnsi" w:hAnsiTheme="minorHAnsi" w:cstheme="minorHAnsi"/>
                <w:color w:val="auto"/>
              </w:rPr>
              <w:t xml:space="preserve"> </w:t>
            </w:r>
            <w:r w:rsidR="00E43C32" w:rsidRPr="00324908">
              <w:rPr>
                <w:rFonts w:asciiTheme="minorHAnsi" w:hAnsiTheme="minorHAnsi" w:cstheme="minorHAnsi"/>
                <w:color w:val="auto"/>
              </w:rPr>
              <w:t>targeted support</w:t>
            </w:r>
            <w:r w:rsidRPr="00324908">
              <w:rPr>
                <w:rFonts w:asciiTheme="minorHAnsi" w:hAnsiTheme="minorHAnsi" w:cstheme="minorHAnsi"/>
                <w:color w:val="auto"/>
              </w:rPr>
              <w:t xml:space="preserve"> </w:t>
            </w:r>
            <w:r w:rsidR="00160779" w:rsidRPr="00324908">
              <w:rPr>
                <w:rFonts w:asciiTheme="minorHAnsi" w:hAnsiTheme="minorHAnsi" w:cstheme="minorHAnsi"/>
                <w:color w:val="auto"/>
              </w:rPr>
              <w:t>through</w:t>
            </w:r>
            <w:r w:rsidR="007A570E" w:rsidRPr="00324908">
              <w:rPr>
                <w:rFonts w:asciiTheme="minorHAnsi" w:hAnsiTheme="minorHAnsi" w:cstheme="minorHAnsi"/>
                <w:color w:val="auto"/>
              </w:rPr>
              <w:t xml:space="preserve"> the National Tutoring Programme</w:t>
            </w:r>
            <w:r w:rsidR="006C56E0" w:rsidRPr="00324908">
              <w:rPr>
                <w:rFonts w:asciiTheme="minorHAnsi" w:hAnsiTheme="minorHAnsi" w:cstheme="minorHAnsi"/>
                <w:color w:val="auto"/>
              </w:rPr>
              <w:t xml:space="preserve"> </w:t>
            </w:r>
            <w:r w:rsidRPr="00324908">
              <w:rPr>
                <w:rFonts w:asciiTheme="minorHAnsi" w:hAnsiTheme="minorHAnsi" w:cstheme="minorHAnsi"/>
                <w:color w:val="auto"/>
              </w:rPr>
              <w:t xml:space="preserve">for pupils whose education has been worst affected, including non-disadvantaged pupils.    </w:t>
            </w:r>
          </w:p>
          <w:p w14:paraId="7E437B54" w14:textId="373451B5" w:rsidR="0087167C" w:rsidRPr="00226C3B" w:rsidRDefault="00C009DA" w:rsidP="00EA1724">
            <w:pPr>
              <w:spacing w:after="0"/>
              <w:rPr>
                <w:rFonts w:asciiTheme="minorHAnsi" w:hAnsiTheme="minorHAnsi" w:cstheme="minorHAnsi"/>
                <w:iCs/>
                <w:color w:val="auto"/>
              </w:rPr>
            </w:pPr>
            <w:r w:rsidRPr="00324908">
              <w:rPr>
                <w:rFonts w:asciiTheme="minorHAnsi" w:hAnsiTheme="minorHAnsi" w:cstheme="minorHAnsi"/>
                <w:iCs/>
                <w:color w:val="auto"/>
                <w:lang w:val="en-US"/>
              </w:rPr>
              <w:t>Our approach will be responsive to common c</w:t>
            </w:r>
            <w:r w:rsidR="00BC2FED">
              <w:rPr>
                <w:rFonts w:asciiTheme="minorHAnsi" w:hAnsiTheme="minorHAnsi" w:cstheme="minorHAnsi"/>
                <w:iCs/>
                <w:color w:val="auto"/>
                <w:lang w:val="en-US"/>
              </w:rPr>
              <w:t xml:space="preserve">hallenges and individual needs regardless of if they are disadvantaged or not. </w:t>
            </w:r>
            <w:r w:rsidRPr="00324908">
              <w:rPr>
                <w:rFonts w:asciiTheme="minorHAnsi" w:hAnsiTheme="minorHAnsi" w:cstheme="minorHAnsi"/>
                <w:iCs/>
                <w:color w:val="auto"/>
                <w:lang w:val="en-US"/>
              </w:rPr>
              <w:t xml:space="preserve"> To en</w:t>
            </w:r>
            <w:r w:rsidR="00EA1724">
              <w:rPr>
                <w:rFonts w:asciiTheme="minorHAnsi" w:hAnsiTheme="minorHAnsi" w:cstheme="minorHAnsi"/>
                <w:iCs/>
                <w:color w:val="auto"/>
                <w:lang w:val="en-US"/>
              </w:rPr>
              <w:t>sure they are effective are intent is:</w:t>
            </w:r>
          </w:p>
          <w:p w14:paraId="7DDF371A"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provide a high quality classroom experience across the curriculum.</w:t>
            </w:r>
          </w:p>
          <w:p w14:paraId="7751EEBB"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provide extra support in key subjects as required in order to maximise pupil achievement.</w:t>
            </w:r>
          </w:p>
          <w:p w14:paraId="1D4079BE"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support social and emotional learning.</w:t>
            </w:r>
          </w:p>
          <w:p w14:paraId="4D8B2099"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provide extra home/school support where there is a need to help overcome any barriers to learning that may be impacting on achievement.</w:t>
            </w:r>
          </w:p>
          <w:p w14:paraId="5699E40A" w14:textId="291BF794" w:rsidR="006B286F"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provide both curricular and extra-curricular enrichment which links to either social and emotional development or academic progress and attainment.</w:t>
            </w:r>
          </w:p>
          <w:p w14:paraId="5DA1AFA4" w14:textId="77777777" w:rsidR="00EA1724" w:rsidRPr="00324908" w:rsidRDefault="00EA1724" w:rsidP="00EA1724">
            <w:pPr>
              <w:numPr>
                <w:ilvl w:val="1"/>
                <w:numId w:val="35"/>
              </w:numPr>
              <w:suppressAutoHyphens w:val="0"/>
              <w:autoSpaceDN/>
              <w:spacing w:line="240" w:lineRule="auto"/>
              <w:contextualSpacing/>
              <w:rPr>
                <w:rFonts w:asciiTheme="minorHAnsi" w:hAnsiTheme="minorHAnsi" w:cstheme="minorHAnsi"/>
                <w:iCs/>
                <w:color w:val="auto"/>
                <w:lang w:val="en-US"/>
              </w:rPr>
            </w:pPr>
            <w:r w:rsidRPr="00324908">
              <w:rPr>
                <w:rFonts w:asciiTheme="minorHAnsi" w:hAnsiTheme="minorHAnsi" w:cstheme="minorHAnsi"/>
                <w:color w:val="auto"/>
              </w:rPr>
              <w:t>act early to intervene at the point need is identified</w:t>
            </w:r>
          </w:p>
          <w:p w14:paraId="30F5AC94" w14:textId="2A81A405" w:rsidR="00EA1724" w:rsidRPr="00EA1724" w:rsidRDefault="006F15BF" w:rsidP="00EA1724">
            <w:pPr>
              <w:spacing w:after="0" w:line="240" w:lineRule="auto"/>
              <w:ind w:left="1440"/>
              <w:rPr>
                <w:rFonts w:asciiTheme="minorHAnsi" w:hAnsiTheme="minorHAnsi" w:cstheme="minorHAnsi"/>
                <w:iCs/>
                <w:color w:val="auto"/>
              </w:rPr>
            </w:pPr>
            <w:r w:rsidRPr="00324908">
              <w:rPr>
                <w:rFonts w:asciiTheme="minorHAnsi" w:hAnsiTheme="minorHAnsi" w:cstheme="minorHAnsi"/>
                <w:color w:val="auto"/>
              </w:rPr>
              <w:t>adopt a whole school approach in which all staff take responsibility for disadvantaged pupils’ outcomes and raise expectations of what they can achieve</w:t>
            </w:r>
          </w:p>
          <w:p w14:paraId="4430BE53" w14:textId="70E20909" w:rsidR="008C6667" w:rsidRPr="006B286F" w:rsidRDefault="008C6667" w:rsidP="006F15BF">
            <w:pPr>
              <w:suppressAutoHyphens w:val="0"/>
              <w:autoSpaceDN/>
              <w:spacing w:line="240" w:lineRule="auto"/>
              <w:rPr>
                <w:rFonts w:cs="Arial"/>
                <w:iCs/>
                <w:color w:val="0070C0"/>
                <w:lang w:val="en-US"/>
              </w:rPr>
            </w:pPr>
          </w:p>
          <w:tbl>
            <w:tblPr>
              <w:tblW w:w="14350" w:type="dxa"/>
              <w:tblCellMar>
                <w:left w:w="10" w:type="dxa"/>
                <w:right w:w="10" w:type="dxa"/>
              </w:tblCellMar>
              <w:tblLook w:val="04A0" w:firstRow="1" w:lastRow="0" w:firstColumn="1" w:lastColumn="0" w:noHBand="0" w:noVBand="1"/>
            </w:tblPr>
            <w:tblGrid>
              <w:gridCol w:w="3787"/>
              <w:gridCol w:w="10563"/>
            </w:tblGrid>
            <w:tr w:rsidR="00226C3B" w14:paraId="3B50A425"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A556551" w14:textId="77777777" w:rsidR="00226C3B" w:rsidRDefault="00226C3B" w:rsidP="00226C3B">
                  <w:pPr>
                    <w:tabs>
                      <w:tab w:val="left" w:pos="1485"/>
                    </w:tabs>
                    <w:spacing w:after="0" w:line="240" w:lineRule="auto"/>
                    <w:ind w:left="720" w:hanging="360"/>
                    <w:rPr>
                      <w:color w:val="auto"/>
                      <w:sz w:val="22"/>
                      <w:szCs w:val="22"/>
                    </w:rPr>
                  </w:pPr>
                  <w:r>
                    <w:rPr>
                      <w:color w:val="auto"/>
                      <w:sz w:val="22"/>
                      <w:szCs w:val="22"/>
                    </w:rPr>
                    <w:t>Key Priorities</w:t>
                  </w:r>
                  <w:r>
                    <w:rPr>
                      <w:color w:val="auto"/>
                      <w:sz w:val="22"/>
                      <w:szCs w:val="22"/>
                    </w:rPr>
                    <w:tab/>
                  </w:r>
                </w:p>
              </w:tc>
              <w:tc>
                <w:tcPr>
                  <w:tcW w:w="10563" w:type="dxa"/>
                  <w:tcBorders>
                    <w:top w:val="single" w:sz="4" w:space="0" w:color="000000"/>
                    <w:left w:val="single" w:sz="4" w:space="0" w:color="000000"/>
                    <w:bottom w:val="single" w:sz="4" w:space="0" w:color="000000"/>
                    <w:right w:val="single" w:sz="4" w:space="0" w:color="000000"/>
                  </w:tcBorders>
                  <w:shd w:val="clear" w:color="auto" w:fill="00B0F0"/>
                  <w:tcMar>
                    <w:top w:w="0" w:type="dxa"/>
                    <w:left w:w="10" w:type="dxa"/>
                    <w:bottom w:w="0" w:type="dxa"/>
                    <w:right w:w="10" w:type="dxa"/>
                  </w:tcMar>
                </w:tcPr>
                <w:p w14:paraId="591CA772" w14:textId="77777777" w:rsidR="00226C3B" w:rsidRDefault="00226C3B" w:rsidP="00226C3B">
                  <w:pPr>
                    <w:pStyle w:val="ListParagraph"/>
                    <w:numPr>
                      <w:ilvl w:val="0"/>
                      <w:numId w:val="33"/>
                    </w:numPr>
                    <w:tabs>
                      <w:tab w:val="left" w:pos="405"/>
                    </w:tabs>
                    <w:spacing w:after="0" w:line="240" w:lineRule="auto"/>
                    <w:contextualSpacing w:val="0"/>
                    <w:textAlignment w:val="baseline"/>
                    <w:rPr>
                      <w:color w:val="auto"/>
                      <w:sz w:val="22"/>
                      <w:szCs w:val="22"/>
                    </w:rPr>
                  </w:pPr>
                  <w:r>
                    <w:rPr>
                      <w:color w:val="auto"/>
                      <w:sz w:val="22"/>
                      <w:szCs w:val="22"/>
                    </w:rPr>
                    <w:t>Success Criteria</w:t>
                  </w:r>
                </w:p>
              </w:tc>
            </w:tr>
            <w:tr w:rsidR="00226C3B" w14:paraId="262AFED5"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FB5F037" w14:textId="77777777" w:rsidR="00226C3B" w:rsidRDefault="00226C3B" w:rsidP="00226C3B">
                  <w:pPr>
                    <w:pStyle w:val="Heading2"/>
                    <w:spacing w:before="0" w:after="0"/>
                  </w:pPr>
                  <w:r>
                    <w:rPr>
                      <w:rFonts w:ascii="Calibri" w:hAnsi="Calibri" w:cs="Calibri"/>
                      <w:sz w:val="20"/>
                      <w:szCs w:val="20"/>
                    </w:rPr>
                    <w:t>To ensure the needs of all pupil premium children are met.</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CD407B" w14:textId="77777777" w:rsidR="00226C3B" w:rsidRDefault="00226C3B" w:rsidP="00226C3B">
                  <w:pPr>
                    <w:pStyle w:val="Heading2"/>
                    <w:numPr>
                      <w:ilvl w:val="0"/>
                      <w:numId w:val="34"/>
                    </w:numPr>
                    <w:spacing w:before="0" w:after="0"/>
                    <w:textAlignment w:val="baseline"/>
                    <w:rPr>
                      <w:rFonts w:ascii="Calibri" w:hAnsi="Calibri" w:cs="Calibri"/>
                      <w:b w:val="0"/>
                      <w:color w:val="auto"/>
                      <w:sz w:val="20"/>
                      <w:szCs w:val="20"/>
                    </w:rPr>
                  </w:pPr>
                  <w:r>
                    <w:rPr>
                      <w:rFonts w:ascii="Calibri" w:hAnsi="Calibri" w:cs="Calibri"/>
                      <w:b w:val="0"/>
                      <w:color w:val="auto"/>
                      <w:sz w:val="20"/>
                      <w:szCs w:val="20"/>
                    </w:rPr>
                    <w:t xml:space="preserve">Attainment matches or is improving towards national figures. </w:t>
                  </w:r>
                </w:p>
                <w:p w14:paraId="5A2F61A2" w14:textId="77777777" w:rsidR="00226C3B" w:rsidRDefault="00226C3B" w:rsidP="00226C3B">
                  <w:pPr>
                    <w:pStyle w:val="ListParagraph"/>
                    <w:numPr>
                      <w:ilvl w:val="0"/>
                      <w:numId w:val="34"/>
                    </w:numPr>
                    <w:spacing w:after="0" w:line="240" w:lineRule="auto"/>
                    <w:contextualSpacing w:val="0"/>
                    <w:textAlignment w:val="baseline"/>
                    <w:rPr>
                      <w:rFonts w:ascii="Calibri" w:hAnsi="Calibri" w:cs="Calibri"/>
                      <w:color w:val="auto"/>
                      <w:sz w:val="20"/>
                      <w:szCs w:val="20"/>
                    </w:rPr>
                  </w:pPr>
                  <w:r>
                    <w:rPr>
                      <w:rFonts w:ascii="Calibri" w:hAnsi="Calibri" w:cs="Calibri"/>
                      <w:color w:val="auto"/>
                      <w:sz w:val="20"/>
                      <w:szCs w:val="20"/>
                    </w:rPr>
                    <w:t>Positive mental Health is supported as necessary.</w:t>
                  </w:r>
                </w:p>
                <w:p w14:paraId="66C17178" w14:textId="77777777" w:rsidR="00226C3B" w:rsidRDefault="00226C3B" w:rsidP="00226C3B">
                  <w:pPr>
                    <w:pStyle w:val="ListParagraph"/>
                    <w:numPr>
                      <w:ilvl w:val="0"/>
                      <w:numId w:val="34"/>
                    </w:numPr>
                    <w:spacing w:after="0" w:line="240" w:lineRule="auto"/>
                    <w:contextualSpacing w:val="0"/>
                    <w:textAlignment w:val="baseline"/>
                    <w:rPr>
                      <w:rFonts w:ascii="Calibri" w:hAnsi="Calibri" w:cs="Calibri"/>
                      <w:color w:val="auto"/>
                      <w:sz w:val="20"/>
                      <w:szCs w:val="20"/>
                    </w:rPr>
                  </w:pPr>
                  <w:r>
                    <w:rPr>
                      <w:rFonts w:ascii="Calibri" w:hAnsi="Calibri" w:cs="Calibri"/>
                      <w:color w:val="auto"/>
                      <w:sz w:val="20"/>
                      <w:szCs w:val="20"/>
                    </w:rPr>
                    <w:t>Entitlement to a full broad and balance curriculum.</w:t>
                  </w:r>
                </w:p>
              </w:tc>
            </w:tr>
            <w:tr w:rsidR="00226C3B" w14:paraId="47F0AD2B"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A7EFCFB" w14:textId="77777777" w:rsidR="00226C3B" w:rsidRDefault="00226C3B" w:rsidP="00226C3B">
                  <w:pPr>
                    <w:pStyle w:val="Heading2"/>
                    <w:spacing w:before="0" w:after="0"/>
                  </w:pPr>
                  <w:r>
                    <w:rPr>
                      <w:rFonts w:ascii="Calibri" w:hAnsi="Calibri" w:cs="Calibri"/>
                      <w:sz w:val="20"/>
                      <w:szCs w:val="20"/>
                    </w:rPr>
                    <w:t>To improve the outcomes of all pupil premium children</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BC0D96" w14:textId="77777777" w:rsidR="00226C3B" w:rsidRDefault="00226C3B" w:rsidP="00226C3B">
                  <w:pPr>
                    <w:pStyle w:val="Heading2"/>
                    <w:numPr>
                      <w:ilvl w:val="0"/>
                      <w:numId w:val="34"/>
                    </w:numPr>
                    <w:spacing w:before="0" w:after="0"/>
                    <w:textAlignment w:val="baseline"/>
                  </w:pPr>
                  <w:r>
                    <w:rPr>
                      <w:rFonts w:ascii="Calibri" w:hAnsi="Calibri" w:cs="Calibri"/>
                      <w:b w:val="0"/>
                      <w:color w:val="auto"/>
                      <w:sz w:val="20"/>
                      <w:szCs w:val="20"/>
                    </w:rPr>
                    <w:t xml:space="preserve">All individual PP children tracked for their barriers to learning termly by staff to ensure that maximum progress is made. </w:t>
                  </w:r>
                </w:p>
                <w:p w14:paraId="4D621C9E" w14:textId="77777777" w:rsidR="00226C3B" w:rsidRDefault="00226C3B" w:rsidP="00226C3B">
                  <w:pPr>
                    <w:pStyle w:val="Heading2"/>
                    <w:numPr>
                      <w:ilvl w:val="0"/>
                      <w:numId w:val="34"/>
                    </w:numPr>
                    <w:spacing w:before="0" w:after="0"/>
                    <w:textAlignment w:val="baseline"/>
                  </w:pPr>
                  <w:r>
                    <w:rPr>
                      <w:rFonts w:ascii="Calibri" w:hAnsi="Calibri" w:cs="Calibri"/>
                      <w:b w:val="0"/>
                      <w:color w:val="auto"/>
                      <w:sz w:val="20"/>
                      <w:szCs w:val="20"/>
                    </w:rPr>
                    <w:t>CPD in phonic training to ensure that all PP children reach individual targets in relation to phonics and reading.</w:t>
                  </w:r>
                </w:p>
              </w:tc>
            </w:tr>
            <w:tr w:rsidR="00226C3B" w14:paraId="560A035E"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730274E" w14:textId="77777777" w:rsidR="00226C3B" w:rsidRDefault="00226C3B" w:rsidP="00226C3B">
                  <w:pPr>
                    <w:pStyle w:val="Heading2"/>
                    <w:spacing w:before="0" w:after="0"/>
                  </w:pPr>
                  <w:r>
                    <w:rPr>
                      <w:rFonts w:ascii="Calibri" w:hAnsi="Calibri" w:cs="Calibri"/>
                      <w:sz w:val="20"/>
                      <w:szCs w:val="20"/>
                    </w:rPr>
                    <w:t>To ensure any differences between pupils receiving pupil premium funding in the school and those who are not [nationally] have significantly diminished.</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60CFA1" w14:textId="77777777" w:rsidR="00226C3B" w:rsidRDefault="00226C3B" w:rsidP="00226C3B">
                  <w:pPr>
                    <w:pStyle w:val="Heading2"/>
                    <w:numPr>
                      <w:ilvl w:val="0"/>
                      <w:numId w:val="34"/>
                    </w:numPr>
                    <w:spacing w:before="0" w:after="0"/>
                    <w:textAlignment w:val="baseline"/>
                    <w:rPr>
                      <w:rFonts w:ascii="Calibri" w:hAnsi="Calibri" w:cs="Calibri"/>
                      <w:b w:val="0"/>
                      <w:color w:val="auto"/>
                      <w:sz w:val="20"/>
                      <w:szCs w:val="20"/>
                    </w:rPr>
                  </w:pPr>
                  <w:r>
                    <w:rPr>
                      <w:rFonts w:ascii="Calibri" w:hAnsi="Calibri" w:cs="Calibri"/>
                      <w:b w:val="0"/>
                      <w:color w:val="auto"/>
                      <w:sz w:val="20"/>
                      <w:szCs w:val="20"/>
                    </w:rPr>
                    <w:t>All children eligible for PP funding have a positive progress score at the end of Key Stage 2, which matches or is improving towards that of other children with the same  starting points.</w:t>
                  </w:r>
                </w:p>
              </w:tc>
            </w:tr>
          </w:tbl>
          <w:p w14:paraId="2A7D54E9" w14:textId="1E7F4E6A" w:rsidR="006B286F" w:rsidRPr="00C009DA" w:rsidRDefault="006B286F" w:rsidP="006B286F">
            <w:pPr>
              <w:suppressAutoHyphens w:val="0"/>
              <w:autoSpaceDN/>
              <w:spacing w:line="240" w:lineRule="auto"/>
              <w:rPr>
                <w:rFonts w:cs="Arial"/>
                <w:iCs/>
                <w:color w:val="0070C0"/>
                <w:lang w:val="en-US"/>
              </w:rPr>
            </w:pPr>
          </w:p>
        </w:tc>
      </w:tr>
    </w:tbl>
    <w:p w14:paraId="34EA8E6B" w14:textId="583BDD66" w:rsidR="00C70917" w:rsidRDefault="00C70917">
      <w:pPr>
        <w:spacing w:before="120" w:line="240" w:lineRule="auto"/>
        <w:textAlignment w:val="baseline"/>
        <w:outlineLvl w:val="0"/>
        <w:rPr>
          <w:bCs/>
          <w:color w:val="auto"/>
        </w:rPr>
      </w:pPr>
    </w:p>
    <w:p w14:paraId="2A7D54EC" w14:textId="29DD96AF"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160" w:type="pct"/>
        <w:tblInd w:w="-289" w:type="dxa"/>
        <w:tblCellMar>
          <w:left w:w="10" w:type="dxa"/>
          <w:right w:w="10" w:type="dxa"/>
        </w:tblCellMar>
        <w:tblLook w:val="04A0" w:firstRow="1" w:lastRow="0" w:firstColumn="1" w:lastColumn="0" w:noHBand="0" w:noVBand="1"/>
      </w:tblPr>
      <w:tblGrid>
        <w:gridCol w:w="1477"/>
        <w:gridCol w:w="13549"/>
      </w:tblGrid>
      <w:tr w:rsidR="006F15BF" w14:paraId="5DE2748D"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52922AF" w14:textId="77777777" w:rsidR="006F15BF" w:rsidRDefault="006F15BF" w:rsidP="00591B34">
            <w:pPr>
              <w:pStyle w:val="TableHeader"/>
              <w:jc w:val="left"/>
            </w:pPr>
            <w:r>
              <w:t>Challenge number</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6246925" w14:textId="77777777" w:rsidR="006F15BF" w:rsidRDefault="006F15BF" w:rsidP="00591B34">
            <w:pPr>
              <w:pStyle w:val="TableHeader"/>
              <w:jc w:val="left"/>
            </w:pPr>
            <w:r>
              <w:t xml:space="preserve">Detail of challenge </w:t>
            </w:r>
          </w:p>
        </w:tc>
      </w:tr>
      <w:tr w:rsidR="006F15BF" w14:paraId="44875434"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9E2355" w14:textId="2BFB9A7C" w:rsidR="006F15BF" w:rsidRDefault="006F15BF" w:rsidP="00591B34">
            <w:pPr>
              <w:pStyle w:val="TableRow"/>
              <w:rPr>
                <w:sz w:val="22"/>
                <w:szCs w:val="22"/>
              </w:rPr>
            </w:pPr>
            <w:r w:rsidRPr="00DD41CD">
              <w:rPr>
                <w:color w:val="auto"/>
                <w:sz w:val="22"/>
                <w:szCs w:val="22"/>
              </w:rPr>
              <w:t>1</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E531C" w14:textId="3580CE39" w:rsidR="006F15BF" w:rsidRPr="00C70917" w:rsidRDefault="00C70917" w:rsidP="00C70917">
            <w:pPr>
              <w:spacing w:after="0" w:line="240" w:lineRule="auto"/>
              <w:rPr>
                <w:rFonts w:asciiTheme="minorHAnsi" w:hAnsiTheme="minorHAnsi" w:cstheme="minorHAnsi"/>
              </w:rPr>
            </w:pPr>
            <w:r w:rsidRPr="00C70917">
              <w:rPr>
                <w:rFonts w:asciiTheme="minorHAnsi" w:hAnsiTheme="minorHAnsi" w:cstheme="minorHAnsi"/>
              </w:rPr>
              <w:t>The impact of the pandemic on many children’s learning has left different gaps however resilience a</w:t>
            </w:r>
            <w:r>
              <w:rPr>
                <w:rFonts w:asciiTheme="minorHAnsi" w:hAnsiTheme="minorHAnsi" w:cstheme="minorHAnsi"/>
              </w:rPr>
              <w:t xml:space="preserve">nd pace of progress/work is the </w:t>
            </w:r>
            <w:r w:rsidRPr="00C70917">
              <w:rPr>
                <w:rFonts w:asciiTheme="minorHAnsi" w:hAnsiTheme="minorHAnsi" w:cstheme="minorHAnsi"/>
              </w:rPr>
              <w:t>overwhelming challenge for staff.</w:t>
            </w:r>
          </w:p>
        </w:tc>
      </w:tr>
      <w:tr w:rsidR="00C70917" w14:paraId="75B690A5"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952FB8" w14:textId="77777777" w:rsidR="00C70917" w:rsidRPr="00DD41CD" w:rsidRDefault="00C70917" w:rsidP="00591B34">
            <w:pPr>
              <w:pStyle w:val="TableRow"/>
              <w:rPr>
                <w:color w:val="auto"/>
                <w:sz w:val="22"/>
                <w:szCs w:val="22"/>
              </w:rPr>
            </w:pP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546BC0" w14:textId="39F10F39" w:rsidR="00C70917" w:rsidRPr="00C70917" w:rsidRDefault="00C70917"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The majority of children have lower literacy skills on entry that other areas of learning.  As a result they make initially slower progress in the children’s acquisition of basic reading and writing skills.</w:t>
            </w:r>
          </w:p>
        </w:tc>
      </w:tr>
      <w:tr w:rsidR="006F15BF" w14:paraId="0DC03045"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6329F" w14:textId="77777777" w:rsidR="006F15BF" w:rsidRPr="003253F8" w:rsidRDefault="006F15BF" w:rsidP="00591B34">
            <w:pPr>
              <w:pStyle w:val="TableRow"/>
              <w:rPr>
                <w:sz w:val="22"/>
                <w:szCs w:val="22"/>
              </w:rPr>
            </w:pPr>
            <w:r w:rsidRPr="003253F8">
              <w:rPr>
                <w:color w:val="auto"/>
                <w:sz w:val="22"/>
                <w:szCs w:val="22"/>
              </w:rPr>
              <w:t>2</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0CE88" w14:textId="32EB7085" w:rsidR="006F15BF" w:rsidRPr="00C70917" w:rsidRDefault="00585B33"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 xml:space="preserve">Some pupils </w:t>
            </w:r>
            <w:r w:rsidR="006F15BF" w:rsidRPr="00C70917">
              <w:rPr>
                <w:rFonts w:asciiTheme="minorHAnsi" w:hAnsiTheme="minorHAnsi" w:cstheme="minorHAnsi"/>
                <w:b w:val="0"/>
                <w:color w:val="auto"/>
                <w:sz w:val="24"/>
                <w:szCs w:val="24"/>
              </w:rPr>
              <w:t>are below typical attainment on entry to school and they are not achieving national attainment l</w:t>
            </w:r>
            <w:r w:rsidRPr="00C70917">
              <w:rPr>
                <w:rFonts w:asciiTheme="minorHAnsi" w:hAnsiTheme="minorHAnsi" w:cstheme="minorHAnsi"/>
                <w:b w:val="0"/>
                <w:color w:val="auto"/>
                <w:sz w:val="24"/>
                <w:szCs w:val="24"/>
              </w:rPr>
              <w:t>evel at the end of KS1 and KS2 this includes disadvantaged pupils or those pupils who are perceived to be disadvantaged.</w:t>
            </w:r>
          </w:p>
        </w:tc>
      </w:tr>
      <w:tr w:rsidR="00E55D65" w14:paraId="28BD7DC7"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87A05" w14:textId="77777777" w:rsidR="00E55D65" w:rsidRPr="00DD41CD" w:rsidRDefault="00E55D65" w:rsidP="00E55D65">
            <w:pPr>
              <w:pStyle w:val="TableRow"/>
              <w:rPr>
                <w:color w:val="auto"/>
                <w:sz w:val="22"/>
                <w:szCs w:val="22"/>
              </w:rPr>
            </w:pPr>
            <w:r>
              <w:rPr>
                <w:color w:val="auto"/>
                <w:sz w:val="22"/>
                <w:szCs w:val="22"/>
              </w:rPr>
              <w:t>3</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DD912" w14:textId="57EC8F8E" w:rsidR="00E55D65" w:rsidRPr="00C70917" w:rsidRDefault="00E55D65"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 xml:space="preserve">Emotional well- being of many children regardless of whether they are disadvantages or not is creating a barrier to them meeting their full academic ability. </w:t>
            </w:r>
          </w:p>
        </w:tc>
      </w:tr>
      <w:tr w:rsidR="00E55D65" w14:paraId="59DDAED0"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F06E6" w14:textId="77777777" w:rsidR="00E55D65" w:rsidRDefault="00E55D65" w:rsidP="00E55D65">
            <w:pPr>
              <w:pStyle w:val="TableRow"/>
              <w:rPr>
                <w:sz w:val="22"/>
                <w:szCs w:val="22"/>
              </w:rPr>
            </w:pPr>
            <w:r>
              <w:rPr>
                <w:sz w:val="22"/>
                <w:szCs w:val="22"/>
              </w:rPr>
              <w:t>4</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1A758" w14:textId="646B5F17" w:rsidR="00E55D65" w:rsidRPr="00C70917" w:rsidRDefault="001A1872"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Maths gaps are impacting upon progress being made with all children but particularly disadvantaged pupils.</w:t>
            </w:r>
          </w:p>
        </w:tc>
      </w:tr>
      <w:tr w:rsidR="00E55D65" w14:paraId="7F876B6B"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84538" w14:textId="77777777" w:rsidR="00E55D65" w:rsidRPr="00380251" w:rsidRDefault="00E55D65" w:rsidP="00E55D65">
            <w:pPr>
              <w:pStyle w:val="TableRow"/>
              <w:rPr>
                <w:sz w:val="22"/>
                <w:szCs w:val="22"/>
              </w:rPr>
            </w:pPr>
            <w:r>
              <w:rPr>
                <w:sz w:val="22"/>
                <w:szCs w:val="22"/>
              </w:rPr>
              <w:t>5</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D43F27" w14:textId="7C4717F8" w:rsidR="00E55D65" w:rsidRPr="00C70917" w:rsidRDefault="001A1872" w:rsidP="00C70917">
            <w:pPr>
              <w:suppressAutoHyphens w:val="0"/>
              <w:autoSpaceDN/>
              <w:spacing w:before="60" w:after="120" w:line="240" w:lineRule="auto"/>
              <w:ind w:right="57"/>
              <w:rPr>
                <w:rFonts w:cs="Arial"/>
                <w:color w:val="auto"/>
                <w:lang w:eastAsia="en-US"/>
              </w:rPr>
            </w:pPr>
            <w:r w:rsidRPr="00C70917">
              <w:rPr>
                <w:rFonts w:asciiTheme="minorHAnsi" w:hAnsiTheme="minorHAnsi" w:cstheme="minorHAnsi"/>
                <w:color w:val="auto"/>
              </w:rPr>
              <w:t>Small numbers of pupils in each year group/class makes using individual funding more difficult as they cannot be collectively supported.</w:t>
            </w:r>
          </w:p>
        </w:tc>
      </w:tr>
    </w:tbl>
    <w:p w14:paraId="2A7D54FF" w14:textId="41A33CA2" w:rsidR="00E66558" w:rsidRDefault="009D71E8">
      <w:pPr>
        <w:pStyle w:val="Heading2"/>
        <w:spacing w:before="600"/>
      </w:pPr>
      <w:bookmarkStart w:id="16" w:name="_Toc443397160"/>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58" w:type="pct"/>
        <w:tblInd w:w="-431" w:type="dxa"/>
        <w:tblCellMar>
          <w:left w:w="10" w:type="dxa"/>
          <w:right w:w="10" w:type="dxa"/>
        </w:tblCellMar>
        <w:tblLook w:val="04A0" w:firstRow="1" w:lastRow="0" w:firstColumn="1" w:lastColumn="0" w:noHBand="0" w:noVBand="1"/>
      </w:tblPr>
      <w:tblGrid>
        <w:gridCol w:w="4135"/>
        <w:gridCol w:w="11176"/>
      </w:tblGrid>
      <w:tr w:rsidR="00E66558" w14:paraId="2A7D5503"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2049F4" w14:paraId="31CE3DA7"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4E6011" w14:textId="5D98A3EC" w:rsidR="002049F4" w:rsidRPr="00E27862" w:rsidRDefault="002049F4" w:rsidP="00627225">
            <w:pPr>
              <w:pStyle w:val="TableRow"/>
              <w:spacing w:after="120"/>
              <w:rPr>
                <w:rFonts w:cs="Arial"/>
                <w:color w:val="auto"/>
              </w:rPr>
            </w:pPr>
            <w:r>
              <w:rPr>
                <w:rFonts w:cs="Arial"/>
                <w:color w:val="auto"/>
              </w:rPr>
              <w:t>Sufficient staffing  levels to ensure that all intervention/catch up programmes take place for disadvantaged and other pupils</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84365" w14:textId="627E8A72" w:rsidR="002049F4" w:rsidRPr="00E27862" w:rsidRDefault="002049F4" w:rsidP="003E2ED5">
            <w:pPr>
              <w:suppressAutoHyphens w:val="0"/>
              <w:autoSpaceDN/>
              <w:spacing w:before="60" w:after="120" w:line="240" w:lineRule="auto"/>
              <w:ind w:left="57" w:right="57"/>
              <w:rPr>
                <w:rFonts w:cs="Arial"/>
                <w:color w:val="auto"/>
              </w:rPr>
            </w:pPr>
            <w:r>
              <w:rPr>
                <w:rFonts w:cs="Arial"/>
                <w:color w:val="auto"/>
              </w:rPr>
              <w:t xml:space="preserve">Appoint a teaching assistant to run catch up/national tutoring programmes which will include identified pupils alongside disadvantaged pupils </w:t>
            </w:r>
          </w:p>
        </w:tc>
      </w:tr>
      <w:tr w:rsidR="00E66558" w14:paraId="2A7D5506"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8A26A94" w:rsidR="00451A23" w:rsidRPr="00E27862" w:rsidRDefault="001B758A" w:rsidP="00627225">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 xml:space="preserve">ls and </w:t>
            </w:r>
            <w:r w:rsidR="00B35076" w:rsidRPr="00E27862">
              <w:rPr>
                <w:rFonts w:cs="Arial"/>
                <w:color w:val="auto"/>
              </w:rPr>
              <w:t>vocab</w:t>
            </w:r>
            <w:r w:rsidR="002417D4" w:rsidRPr="00E27862">
              <w:rPr>
                <w:rFonts w:cs="Arial"/>
                <w:color w:val="auto"/>
              </w:rPr>
              <w:t>ulary</w:t>
            </w:r>
            <w:r w:rsidRPr="00E27862">
              <w:rPr>
                <w:rFonts w:cs="Arial"/>
                <w:color w:val="auto"/>
              </w:rPr>
              <w:t xml:space="preserve"> </w:t>
            </w:r>
            <w:r w:rsidR="00883CD9" w:rsidRPr="00E27862">
              <w:rPr>
                <w:rFonts w:cs="Arial"/>
                <w:color w:val="auto"/>
              </w:rPr>
              <w:t>among</w:t>
            </w:r>
            <w:r w:rsidR="001A2DCD">
              <w:rPr>
                <w:rFonts w:cs="Arial"/>
                <w:color w:val="auto"/>
              </w:rPr>
              <w:t xml:space="preserve"> all children particularly</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D4B91F" w14:textId="2E89D894" w:rsidR="001A2DCD" w:rsidRDefault="00E72FF0" w:rsidP="001A2DCD">
            <w:pPr>
              <w:suppressAutoHyphens w:val="0"/>
              <w:autoSpaceDN/>
              <w:spacing w:before="60" w:after="120" w:line="240" w:lineRule="auto"/>
              <w:ind w:left="57" w:right="57"/>
              <w:rPr>
                <w:rFonts w:cs="Arial"/>
                <w:color w:val="auto"/>
              </w:rPr>
            </w:pPr>
            <w:r w:rsidRPr="00E27862">
              <w:rPr>
                <w:rFonts w:cs="Arial"/>
                <w:color w:val="auto"/>
              </w:rPr>
              <w:t>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1E4E1D" w:rsidRPr="00E27862">
              <w:rPr>
                <w:rFonts w:cs="Arial"/>
                <w:color w:val="auto"/>
              </w:rPr>
              <w:t>and ob</w:t>
            </w:r>
            <w:r w:rsidR="00A4749A" w:rsidRPr="00E27862">
              <w:rPr>
                <w:rFonts w:cs="Arial"/>
                <w:color w:val="auto"/>
              </w:rPr>
              <w:t xml:space="preserve">servations </w:t>
            </w:r>
            <w:r w:rsidR="00CC1B11" w:rsidRPr="00E27862">
              <w:rPr>
                <w:rFonts w:cs="Arial"/>
                <w:color w:val="auto"/>
              </w:rPr>
              <w:t>indicate</w:t>
            </w:r>
            <w:r w:rsidR="007F4DEB" w:rsidRPr="00E27862">
              <w:rPr>
                <w:rFonts w:cs="Arial"/>
                <w:color w:val="auto"/>
              </w:rPr>
              <w:t xml:space="preserve"> </w:t>
            </w:r>
            <w:r w:rsidR="004F134F" w:rsidRPr="00E27862">
              <w:rPr>
                <w:rFonts w:cs="Arial"/>
                <w:color w:val="auto"/>
              </w:rPr>
              <w:t>significantly improved oral language among</w:t>
            </w:r>
            <w:r w:rsidR="00BA1581" w:rsidRPr="00E27862">
              <w:rPr>
                <w:rFonts w:cs="Arial"/>
                <w:color w:val="auto"/>
              </w:rPr>
              <w:t xml:space="preserve"> </w:t>
            </w:r>
            <w:r w:rsidR="00345879" w:rsidRPr="00E27862">
              <w:rPr>
                <w:rFonts w:cs="Arial"/>
                <w:color w:val="auto"/>
              </w:rPr>
              <w:t>disadvantaged pupils</w:t>
            </w:r>
            <w:r w:rsidR="00F81007" w:rsidRPr="00E27862">
              <w:rPr>
                <w:rFonts w:cs="Arial"/>
                <w:color w:val="auto"/>
              </w:rPr>
              <w:t>.</w:t>
            </w:r>
          </w:p>
          <w:p w14:paraId="2A7D5505" w14:textId="4B9B7361" w:rsidR="00C863B9" w:rsidRPr="00E27862" w:rsidRDefault="001A2DCD" w:rsidP="001A2DCD">
            <w:pPr>
              <w:suppressAutoHyphens w:val="0"/>
              <w:autoSpaceDN/>
              <w:spacing w:before="60" w:after="120" w:line="240" w:lineRule="auto"/>
              <w:ind w:right="57"/>
              <w:rPr>
                <w:rFonts w:cs="Arial"/>
                <w:color w:val="auto"/>
              </w:rPr>
            </w:pPr>
            <w:r>
              <w:rPr>
                <w:rFonts w:cs="Arial"/>
                <w:color w:val="auto"/>
              </w:rPr>
              <w:t>Disadvantaged pupils make accelerated progress from their starting points.</w:t>
            </w:r>
          </w:p>
        </w:tc>
      </w:tr>
      <w:tr w:rsidR="009A019B" w14:paraId="1D07F1DD"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508FFE" w14:textId="043DAD42" w:rsidR="009A019B" w:rsidRPr="00E27862" w:rsidRDefault="009A019B" w:rsidP="00627225">
            <w:pPr>
              <w:pStyle w:val="TableRow"/>
              <w:spacing w:after="120"/>
              <w:rPr>
                <w:rFonts w:cs="Arial"/>
                <w:color w:val="auto"/>
              </w:rPr>
            </w:pPr>
            <w:r>
              <w:rPr>
                <w:rFonts w:cs="Arial"/>
                <w:color w:val="auto"/>
              </w:rPr>
              <w:t xml:space="preserve">Social and Emotional needs are met. Early Intervention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4CB2A" w14:textId="68A0051B" w:rsidR="009A019B" w:rsidRDefault="009A019B" w:rsidP="003E2ED5">
            <w:pPr>
              <w:suppressAutoHyphens w:val="0"/>
              <w:autoSpaceDN/>
              <w:spacing w:before="60" w:after="120" w:line="240" w:lineRule="auto"/>
              <w:ind w:left="57" w:right="57"/>
              <w:rPr>
                <w:rFonts w:cs="Arial"/>
                <w:color w:val="auto"/>
              </w:rPr>
            </w:pPr>
            <w:r>
              <w:rPr>
                <w:rFonts w:cs="Arial"/>
                <w:color w:val="auto"/>
              </w:rPr>
              <w:t>ELSA supports identified children and progress is made towards positive mental health.</w:t>
            </w:r>
          </w:p>
          <w:p w14:paraId="16B0F086" w14:textId="2DF9BB11" w:rsidR="009A019B" w:rsidRPr="00E27862" w:rsidRDefault="009A019B" w:rsidP="003E2ED5">
            <w:pPr>
              <w:suppressAutoHyphens w:val="0"/>
              <w:autoSpaceDN/>
              <w:spacing w:before="60" w:after="120" w:line="240" w:lineRule="auto"/>
              <w:ind w:left="57" w:right="57"/>
              <w:rPr>
                <w:rFonts w:cs="Arial"/>
                <w:color w:val="auto"/>
              </w:rPr>
            </w:pPr>
            <w:r>
              <w:rPr>
                <w:rFonts w:cs="Arial"/>
                <w:color w:val="auto"/>
              </w:rPr>
              <w:t>Well-being /PHSE lessons support all children to develop resilience and a positive attitude academically and socially.</w:t>
            </w:r>
          </w:p>
        </w:tc>
      </w:tr>
      <w:tr w:rsidR="00C32A4A" w14:paraId="20B889D4"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ED3C1" w14:textId="2C2715B2" w:rsidR="00C32A4A" w:rsidRDefault="00C32A4A" w:rsidP="00627225">
            <w:pPr>
              <w:pStyle w:val="TableRow"/>
              <w:spacing w:after="120"/>
              <w:rPr>
                <w:rFonts w:cs="Arial"/>
                <w:color w:val="auto"/>
              </w:rPr>
            </w:pPr>
            <w:r>
              <w:rPr>
                <w:rFonts w:cs="Arial"/>
                <w:color w:val="auto"/>
              </w:rPr>
              <w:t>New Phonic Scheme implemented in line with DFE requirements</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148FD6" w14:textId="01C5641B" w:rsidR="00C32A4A" w:rsidRDefault="00C32A4A" w:rsidP="003E2ED5">
            <w:pPr>
              <w:suppressAutoHyphens w:val="0"/>
              <w:autoSpaceDN/>
              <w:spacing w:before="60" w:after="120" w:line="240" w:lineRule="auto"/>
              <w:ind w:left="57" w:right="57"/>
              <w:rPr>
                <w:rFonts w:cs="Arial"/>
                <w:color w:val="auto"/>
              </w:rPr>
            </w:pPr>
            <w:r>
              <w:rPr>
                <w:rFonts w:cs="Arial"/>
                <w:color w:val="auto"/>
              </w:rPr>
              <w:t>Phonic scheme implemented and all staff receive training. Phonic pass at Yr1 return to pre-pandemic percentages.</w:t>
            </w:r>
          </w:p>
          <w:p w14:paraId="5B7E8B72" w14:textId="7EF83094" w:rsidR="00C32A4A" w:rsidRDefault="00C32A4A" w:rsidP="003E2ED5">
            <w:pPr>
              <w:suppressAutoHyphens w:val="0"/>
              <w:autoSpaceDN/>
              <w:spacing w:before="60" w:after="120" w:line="240" w:lineRule="auto"/>
              <w:ind w:left="57" w:right="57"/>
              <w:rPr>
                <w:rFonts w:cs="Arial"/>
                <w:color w:val="auto"/>
              </w:rPr>
            </w:pPr>
            <w:r>
              <w:rPr>
                <w:rFonts w:cs="Arial"/>
                <w:color w:val="auto"/>
              </w:rPr>
              <w:t>All children are identified for early support if required.</w:t>
            </w:r>
          </w:p>
        </w:tc>
      </w:tr>
      <w:tr w:rsidR="00E66558" w14:paraId="2A7D550C"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C81A218" w:rsidR="00CB316E" w:rsidRPr="00E27862" w:rsidRDefault="00CB316E" w:rsidP="00A6450E">
            <w:pPr>
              <w:pStyle w:val="TableRow"/>
              <w:spacing w:after="120"/>
              <w:ind w:left="29"/>
              <w:rPr>
                <w:rFonts w:cs="Arial"/>
                <w:color w:val="auto"/>
              </w:rPr>
            </w:pPr>
            <w:r w:rsidRPr="00E27862">
              <w:rPr>
                <w:rFonts w:cs="Arial"/>
                <w:color w:val="auto"/>
              </w:rPr>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425B289A" w:rsidR="00A564D2" w:rsidRPr="00E27862" w:rsidRDefault="008933B1" w:rsidP="0040333F">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 xml:space="preserve">outcomes </w:t>
            </w:r>
            <w:r w:rsidR="00FC03D9" w:rsidRPr="00E27862">
              <w:rPr>
                <w:rFonts w:cs="Arial"/>
                <w:color w:val="auto"/>
                <w:lang w:eastAsia="en-US"/>
              </w:rPr>
              <w:t xml:space="preserve"> </w:t>
            </w:r>
            <w:r w:rsidR="00047FBF" w:rsidRPr="00E27862">
              <w:rPr>
                <w:rFonts w:cs="Arial"/>
                <w:color w:val="auto"/>
                <w:lang w:eastAsia="en-US"/>
              </w:rPr>
              <w:t>show</w:t>
            </w:r>
            <w:r w:rsidR="0053752B" w:rsidRPr="00E27862">
              <w:rPr>
                <w:rFonts w:cs="Arial"/>
                <w:color w:val="auto"/>
                <w:lang w:eastAsia="en-US"/>
              </w:rPr>
              <w:t xml:space="preserve"> that</w:t>
            </w:r>
            <w:r w:rsidR="004C57FE" w:rsidRPr="00E27862">
              <w:rPr>
                <w:rFonts w:cs="Arial"/>
                <w:color w:val="auto"/>
                <w:lang w:eastAsia="en-US"/>
              </w:rPr>
              <w:t xml:space="preserve"> </w:t>
            </w:r>
            <w:r w:rsidR="00DE5705" w:rsidRPr="00E27862">
              <w:rPr>
                <w:rFonts w:cs="Arial"/>
                <w:color w:val="auto"/>
                <w:lang w:eastAsia="en-US"/>
              </w:rPr>
              <w:t xml:space="preserve">more than </w:t>
            </w:r>
            <w:r w:rsidR="006F15BF">
              <w:rPr>
                <w:rFonts w:cs="Arial"/>
                <w:color w:val="auto"/>
                <w:lang w:eastAsia="en-US"/>
              </w:rPr>
              <w:t>75</w:t>
            </w:r>
            <w:r w:rsidR="00DE5705" w:rsidRPr="00E27862">
              <w:rPr>
                <w:rFonts w:cs="Arial"/>
                <w:color w:val="auto"/>
                <w:lang w:eastAsia="en-US"/>
              </w:rPr>
              <w:t xml:space="preserve">% of disadvantaged pupils met </w:t>
            </w:r>
            <w:r w:rsidR="004A0CA4" w:rsidRPr="00E27862">
              <w:rPr>
                <w:rFonts w:cs="Arial"/>
                <w:color w:val="auto"/>
                <w:lang w:eastAsia="en-US"/>
              </w:rPr>
              <w:t>the expected standard.</w:t>
            </w:r>
          </w:p>
        </w:tc>
      </w:tr>
      <w:tr w:rsidR="00B17E61" w14:paraId="118A844E"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5434351B" w:rsidR="00B17E61" w:rsidRPr="00E27862" w:rsidRDefault="00B17E61" w:rsidP="00B9445B">
            <w:pPr>
              <w:pStyle w:val="TableRow"/>
              <w:spacing w:after="120"/>
              <w:ind w:left="28"/>
              <w:rPr>
                <w:rFonts w:cs="Arial"/>
                <w:color w:val="auto"/>
              </w:rPr>
            </w:pPr>
            <w:r w:rsidRPr="00E27862">
              <w:rPr>
                <w:rFonts w:cs="Arial"/>
                <w:color w:val="auto"/>
              </w:rPr>
              <w:t xml:space="preserve">Improved maths attainment for disadvantaged pupils </w:t>
            </w:r>
            <w:r w:rsidR="00BB1AD6" w:rsidRPr="00E27862">
              <w:rPr>
                <w:rFonts w:cs="Arial"/>
                <w:color w:val="auto"/>
              </w:rPr>
              <w:t>at the end of KS2</w:t>
            </w:r>
            <w:r w:rsidR="00212A8E" w:rsidRPr="00E27862">
              <w:rPr>
                <w:rFonts w:cs="Arial"/>
                <w:color w:val="auto"/>
              </w:rPr>
              <w:t>.</w:t>
            </w:r>
            <w:r w:rsidR="00BB1AD6"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56130" w14:textId="7A10E801" w:rsidR="00BB1AD6" w:rsidRPr="00E27862" w:rsidRDefault="0025127A" w:rsidP="00AF7077">
            <w:pPr>
              <w:pStyle w:val="TableRowCentered"/>
              <w:spacing w:after="120"/>
              <w:jc w:val="left"/>
              <w:rPr>
                <w:rFonts w:cs="Arial"/>
                <w:color w:val="auto"/>
                <w:szCs w:val="24"/>
                <w:lang w:eastAsia="en-US"/>
              </w:rPr>
            </w:pPr>
            <w:r w:rsidRPr="00E27862">
              <w:rPr>
                <w:rFonts w:cs="Arial"/>
                <w:color w:val="auto"/>
              </w:rPr>
              <w:t>KS2</w:t>
            </w:r>
            <w:r w:rsidR="00C32A4A">
              <w:rPr>
                <w:rFonts w:cs="Arial"/>
                <w:color w:val="auto"/>
                <w:szCs w:val="24"/>
                <w:lang w:eastAsia="en-US"/>
              </w:rPr>
              <w:t xml:space="preserve"> maths outcomes </w:t>
            </w:r>
            <w:r w:rsidR="00BB1AD6" w:rsidRPr="00E27862">
              <w:rPr>
                <w:rFonts w:cs="Arial"/>
                <w:color w:val="auto"/>
                <w:szCs w:val="24"/>
                <w:lang w:eastAsia="en-US"/>
              </w:rPr>
              <w:t xml:space="preserve">show </w:t>
            </w:r>
            <w:r w:rsidR="0053752B" w:rsidRPr="00E27862">
              <w:rPr>
                <w:rFonts w:cs="Arial"/>
                <w:color w:val="auto"/>
                <w:szCs w:val="24"/>
                <w:lang w:eastAsia="en-US"/>
              </w:rPr>
              <w:t>that</w:t>
            </w:r>
            <w:r w:rsidR="00AF7077" w:rsidRPr="00E27862">
              <w:rPr>
                <w:rFonts w:cs="Arial"/>
                <w:color w:val="auto"/>
                <w:szCs w:val="24"/>
                <w:lang w:eastAsia="en-US"/>
              </w:rPr>
              <w:t xml:space="preserve"> </w:t>
            </w:r>
            <w:r w:rsidR="00BB1AD6" w:rsidRPr="00E27862">
              <w:rPr>
                <w:rStyle w:val="CommentReference"/>
                <w:color w:val="auto"/>
              </w:rPr>
              <w:t xml:space="preserve">more than </w:t>
            </w:r>
            <w:r w:rsidR="00F000C1">
              <w:rPr>
                <w:rStyle w:val="CommentReference"/>
                <w:color w:val="auto"/>
              </w:rPr>
              <w:t>75</w:t>
            </w:r>
            <w:r w:rsidR="00BB1AD6" w:rsidRPr="00E27862">
              <w:rPr>
                <w:rStyle w:val="CommentReference"/>
                <w:color w:val="auto"/>
              </w:rPr>
              <w:t xml:space="preserve">% of disadvantaged pupils met </w:t>
            </w:r>
            <w:r w:rsidR="0044189E" w:rsidRPr="00E27862">
              <w:rPr>
                <w:rStyle w:val="CommentReference"/>
                <w:color w:val="auto"/>
              </w:rPr>
              <w:t>the expected standard.</w:t>
            </w:r>
          </w:p>
          <w:p w14:paraId="3DE83D75" w14:textId="7B9360E0" w:rsidR="00B17E61" w:rsidRPr="00E27862" w:rsidRDefault="00B17E61" w:rsidP="00AA70F5">
            <w:pPr>
              <w:pStyle w:val="TableRowCentered"/>
              <w:ind w:left="0"/>
              <w:jc w:val="left"/>
              <w:rPr>
                <w:rFonts w:cs="Arial"/>
                <w:color w:val="auto"/>
                <w:szCs w:val="24"/>
                <w:lang w:eastAsia="en-US"/>
              </w:rPr>
            </w:pPr>
          </w:p>
        </w:tc>
      </w:tr>
      <w:tr w:rsidR="00175C89" w:rsidRPr="00B32FF3" w14:paraId="46FEADAA"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E27862" w:rsidRDefault="00E01412" w:rsidP="00A6450E">
            <w:pPr>
              <w:pStyle w:val="TableRow"/>
              <w:ind w:left="29"/>
              <w:rPr>
                <w:rFonts w:cs="Arial"/>
                <w:color w:val="auto"/>
              </w:rPr>
            </w:pPr>
            <w:r w:rsidRPr="00E27862">
              <w:rPr>
                <w:rFonts w:cs="Arial"/>
                <w:color w:val="auto"/>
              </w:rPr>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71B343" w14:textId="1088FB52" w:rsidR="00175C89" w:rsidRPr="00C32A4A" w:rsidRDefault="00C32A4A" w:rsidP="00C32A4A">
            <w:pPr>
              <w:suppressAutoHyphens w:val="0"/>
              <w:autoSpaceDN/>
              <w:spacing w:before="60" w:after="60" w:line="240" w:lineRule="auto"/>
              <w:ind w:right="57"/>
              <w:rPr>
                <w:rFonts w:cs="Arial"/>
                <w:color w:val="auto"/>
              </w:rPr>
            </w:pPr>
            <w:r>
              <w:rPr>
                <w:rFonts w:cs="Arial"/>
                <w:color w:val="auto"/>
              </w:rPr>
              <w:t>T</w:t>
            </w:r>
            <w:r w:rsidR="001C1224" w:rsidRPr="00C32A4A">
              <w:rPr>
                <w:rFonts w:cs="Arial"/>
                <w:color w:val="auto"/>
              </w:rPr>
              <w:t>he</w:t>
            </w:r>
            <w:r w:rsidR="00FF599B" w:rsidRPr="00C32A4A">
              <w:rPr>
                <w:rFonts w:cs="Arial"/>
                <w:color w:val="auto"/>
              </w:rPr>
              <w:t xml:space="preserve"> overall</w:t>
            </w:r>
            <w:r w:rsidR="001C1224" w:rsidRPr="00C32A4A">
              <w:rPr>
                <w:rFonts w:cs="Arial"/>
                <w:color w:val="auto"/>
              </w:rPr>
              <w:t xml:space="preserve"> absence rate</w:t>
            </w:r>
            <w:r w:rsidR="00CC3491" w:rsidRPr="00C32A4A">
              <w:rPr>
                <w:rFonts w:cs="Arial"/>
                <w:color w:val="auto"/>
              </w:rPr>
              <w:t xml:space="preserve"> for </w:t>
            </w:r>
            <w:r w:rsidR="002C53A2" w:rsidRPr="00C32A4A">
              <w:rPr>
                <w:rFonts w:cs="Arial"/>
                <w:color w:val="auto"/>
              </w:rPr>
              <w:t>all</w:t>
            </w:r>
            <w:r w:rsidR="00175C89" w:rsidRPr="00C32A4A">
              <w:rPr>
                <w:rFonts w:cs="Arial"/>
                <w:color w:val="auto"/>
              </w:rPr>
              <w:t xml:space="preserve"> pupils </w:t>
            </w:r>
            <w:r w:rsidR="0019782E" w:rsidRPr="00C32A4A">
              <w:rPr>
                <w:rFonts w:cs="Arial"/>
                <w:color w:val="auto"/>
              </w:rPr>
              <w:t>being</w:t>
            </w:r>
            <w:r w:rsidR="00175C89" w:rsidRPr="00C32A4A">
              <w:rPr>
                <w:rFonts w:cs="Arial"/>
                <w:color w:val="auto"/>
              </w:rPr>
              <w:t xml:space="preserve"> </w:t>
            </w:r>
            <w:r w:rsidR="001C1224" w:rsidRPr="00C32A4A">
              <w:rPr>
                <w:rFonts w:cs="Arial"/>
                <w:color w:val="auto"/>
              </w:rPr>
              <w:t>no more tha</w:t>
            </w:r>
            <w:r w:rsidR="00AD7277" w:rsidRPr="00C32A4A">
              <w:rPr>
                <w:rFonts w:cs="Arial"/>
                <w:color w:val="auto"/>
              </w:rPr>
              <w:t>n</w:t>
            </w:r>
            <w:r w:rsidR="001C1224" w:rsidRPr="00C32A4A">
              <w:rPr>
                <w:rFonts w:cs="Arial"/>
                <w:color w:val="auto"/>
              </w:rPr>
              <w:t xml:space="preserve"> </w:t>
            </w:r>
            <w:r w:rsidRPr="00C32A4A">
              <w:rPr>
                <w:rFonts w:cs="Arial"/>
                <w:color w:val="auto"/>
              </w:rPr>
              <w:t>4</w:t>
            </w:r>
            <w:r w:rsidR="001C1224" w:rsidRPr="00C32A4A">
              <w:rPr>
                <w:rFonts w:cs="Arial"/>
                <w:color w:val="auto"/>
              </w:rPr>
              <w:t>%</w:t>
            </w:r>
            <w:r w:rsidR="00672B1A" w:rsidRPr="00C32A4A">
              <w:rPr>
                <w:rFonts w:cs="Arial"/>
                <w:color w:val="auto"/>
              </w:rPr>
              <w:t>,</w:t>
            </w:r>
            <w:r w:rsidR="000D5873" w:rsidRPr="00C32A4A">
              <w:rPr>
                <w:rFonts w:cs="Arial"/>
                <w:color w:val="auto"/>
              </w:rPr>
              <w:t xml:space="preserve"> </w:t>
            </w:r>
            <w:r w:rsidR="0041315E" w:rsidRPr="00C32A4A">
              <w:rPr>
                <w:rFonts w:cs="Arial"/>
                <w:color w:val="auto"/>
              </w:rPr>
              <w:t xml:space="preserve">and </w:t>
            </w:r>
            <w:r w:rsidR="00F52735" w:rsidRPr="00C32A4A">
              <w:rPr>
                <w:rFonts w:cs="Arial"/>
                <w:color w:val="auto"/>
              </w:rPr>
              <w:t xml:space="preserve">the </w:t>
            </w:r>
            <w:r w:rsidR="00E2023E" w:rsidRPr="00C32A4A">
              <w:rPr>
                <w:rFonts w:cs="Arial"/>
                <w:color w:val="auto"/>
              </w:rPr>
              <w:t xml:space="preserve">attendance gap </w:t>
            </w:r>
            <w:r w:rsidR="00524178" w:rsidRPr="00C32A4A">
              <w:rPr>
                <w:rFonts w:cs="Arial"/>
                <w:color w:val="auto"/>
              </w:rPr>
              <w:t xml:space="preserve">between </w:t>
            </w:r>
            <w:r w:rsidR="00F52735" w:rsidRPr="00C32A4A">
              <w:rPr>
                <w:rFonts w:cs="Arial"/>
                <w:color w:val="auto"/>
              </w:rPr>
              <w:t>disadvantaged pupils</w:t>
            </w:r>
            <w:r w:rsidR="00B04B89" w:rsidRPr="00C32A4A">
              <w:rPr>
                <w:rFonts w:cs="Arial"/>
                <w:color w:val="auto"/>
              </w:rPr>
              <w:t xml:space="preserve"> </w:t>
            </w:r>
            <w:r w:rsidR="00E2023E" w:rsidRPr="00C32A4A">
              <w:rPr>
                <w:rFonts w:cs="Arial"/>
                <w:color w:val="auto"/>
              </w:rPr>
              <w:t xml:space="preserve">and their non-disadvantaged peers </w:t>
            </w:r>
            <w:r w:rsidR="007C4301" w:rsidRPr="00C32A4A">
              <w:rPr>
                <w:rFonts w:cs="Arial"/>
                <w:color w:val="auto"/>
              </w:rPr>
              <w:t>being</w:t>
            </w:r>
            <w:r w:rsidR="00D82037" w:rsidRPr="00C32A4A">
              <w:rPr>
                <w:rFonts w:cs="Arial"/>
                <w:color w:val="auto"/>
              </w:rPr>
              <w:t xml:space="preserve"> </w:t>
            </w:r>
            <w:r w:rsidRPr="00C32A4A">
              <w:rPr>
                <w:rFonts w:cs="Arial"/>
                <w:color w:val="auto"/>
              </w:rPr>
              <w:t>reduced by 2</w:t>
            </w:r>
            <w:r w:rsidR="00052377" w:rsidRPr="00C32A4A">
              <w:rPr>
                <w:rFonts w:cs="Arial"/>
                <w:color w:val="auto"/>
              </w:rPr>
              <w:t>%</w:t>
            </w:r>
            <w:r w:rsidR="00F52735" w:rsidRPr="00C32A4A">
              <w:rPr>
                <w:rFonts w:cs="Arial"/>
                <w:color w:val="auto"/>
              </w:rPr>
              <w:t>.</w:t>
            </w:r>
          </w:p>
          <w:p w14:paraId="7182EE59" w14:textId="3DA4A06F" w:rsidR="002C53A2" w:rsidRPr="00C32A4A" w:rsidRDefault="00C32A4A" w:rsidP="00C32A4A">
            <w:pPr>
              <w:suppressAutoHyphens w:val="0"/>
              <w:autoSpaceDN/>
              <w:spacing w:before="60" w:after="120" w:line="240" w:lineRule="auto"/>
              <w:ind w:right="57"/>
              <w:rPr>
                <w:rFonts w:cs="Arial"/>
                <w:color w:val="auto"/>
              </w:rPr>
            </w:pPr>
            <w:r>
              <w:rPr>
                <w:rFonts w:cs="Arial"/>
                <w:color w:val="auto"/>
              </w:rPr>
              <w:t>T</w:t>
            </w:r>
            <w:r w:rsidR="00CF52EA" w:rsidRPr="00C32A4A">
              <w:rPr>
                <w:rFonts w:cs="Arial"/>
                <w:color w:val="auto"/>
              </w:rPr>
              <w:t>he percentage of all pupils who are p</w:t>
            </w:r>
            <w:r>
              <w:rPr>
                <w:rFonts w:cs="Arial"/>
                <w:color w:val="auto"/>
              </w:rPr>
              <w:t>ersistently absent are monitored closely with parental meetings and additional support offered to pupil and the family.</w:t>
            </w:r>
          </w:p>
        </w:tc>
      </w:tr>
    </w:tbl>
    <w:p w14:paraId="2A7D5512" w14:textId="00409B2B" w:rsidR="00E66558" w:rsidRPr="00307325" w:rsidRDefault="00120AB1" w:rsidP="00307325">
      <w:pPr>
        <w:suppressAutoHyphens w:val="0"/>
        <w:spacing w:after="0" w:line="240" w:lineRule="auto"/>
        <w:rPr>
          <w:b/>
          <w:color w:val="104F75"/>
          <w:sz w:val="32"/>
          <w:szCs w:val="32"/>
          <w:u w:val="single"/>
        </w:rPr>
      </w:pPr>
      <w:r>
        <w:br w:type="page"/>
      </w:r>
      <w:r w:rsidR="009D71E8" w:rsidRPr="00307325">
        <w:rPr>
          <w:b/>
          <w:u w:val="single"/>
        </w:rPr>
        <w:lastRenderedPageBreak/>
        <w:t>Activity in this academic year</w:t>
      </w:r>
    </w:p>
    <w:p w14:paraId="2D03D296" w14:textId="77777777" w:rsidR="00307325" w:rsidRDefault="00307325">
      <w:pPr>
        <w:spacing w:after="480"/>
      </w:pPr>
    </w:p>
    <w:p w14:paraId="2A7D5513" w14:textId="2FB77B59"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20CC5315" w:rsidR="00E66558" w:rsidRDefault="00297EB8">
      <w:pPr>
        <w:pStyle w:val="Heading3"/>
      </w:pPr>
      <w:r>
        <w:t>Teaching</w:t>
      </w:r>
    </w:p>
    <w:p w14:paraId="2A7D5515" w14:textId="47646C0C" w:rsidR="00E66558" w:rsidRPr="00750C33" w:rsidRDefault="009D71E8" w:rsidP="00877501">
      <w:pPr>
        <w:rPr>
          <w:color w:val="0070C0"/>
        </w:rPr>
      </w:pPr>
      <w:r>
        <w:t xml:space="preserve">Budgeted cost: </w:t>
      </w:r>
      <w:r w:rsidR="00530892">
        <w:t>£45,000</w:t>
      </w:r>
    </w:p>
    <w:tbl>
      <w:tblPr>
        <w:tblW w:w="5000" w:type="pct"/>
        <w:tblLayout w:type="fixed"/>
        <w:tblCellMar>
          <w:left w:w="10" w:type="dxa"/>
          <w:right w:w="10" w:type="dxa"/>
        </w:tblCellMar>
        <w:tblLook w:val="04A0" w:firstRow="1" w:lastRow="0" w:firstColumn="1" w:lastColumn="0" w:noHBand="0" w:noVBand="1"/>
      </w:tblPr>
      <w:tblGrid>
        <w:gridCol w:w="5214"/>
        <w:gridCol w:w="7255"/>
        <w:gridCol w:w="2091"/>
      </w:tblGrid>
      <w:tr w:rsidR="00E66558" w14:paraId="2A7D5519"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C2FED" w14:paraId="2A7D5521"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633C432F" w:rsidR="00BC2FED" w:rsidRPr="00E27862" w:rsidRDefault="00BC2FED" w:rsidP="00BC2FED">
            <w:pPr>
              <w:suppressAutoHyphens w:val="0"/>
              <w:autoSpaceDN/>
              <w:spacing w:before="60" w:after="120" w:line="240" w:lineRule="auto"/>
              <w:ind w:left="57" w:right="57"/>
              <w:rPr>
                <w:color w:val="auto"/>
              </w:rPr>
            </w:pPr>
            <w:r w:rsidRPr="00E27862">
              <w:rPr>
                <w:rFonts w:cs="Arial"/>
                <w:iCs/>
                <w:color w:val="auto"/>
              </w:rPr>
              <w:t xml:space="preserve">Purchase of a </w:t>
            </w:r>
            <w:hyperlink r:id="rId10"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1A5FB53F" w:rsidR="00BC2FED" w:rsidRPr="00E27862" w:rsidRDefault="00BC2FED" w:rsidP="004D76C6">
            <w:pPr>
              <w:suppressAutoHyphens w:val="0"/>
              <w:autoSpaceDN/>
              <w:spacing w:before="60" w:after="60" w:line="240" w:lineRule="auto"/>
              <w:ind w:left="57" w:right="57"/>
              <w:rPr>
                <w:color w:val="auto"/>
              </w:rPr>
            </w:pPr>
            <w:r>
              <w:rPr>
                <w:color w:val="auto"/>
              </w:rPr>
              <w:t xml:space="preserve">Decided to purchase </w:t>
            </w:r>
            <w:r w:rsidR="00530892">
              <w:rPr>
                <w:color w:val="auto"/>
              </w:rPr>
              <w:t xml:space="preserve">Little Wandle scheme. Scheme purchase, training and books and resources to be purchased - </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D45B8" w14:textId="77777777" w:rsidR="00BC2FED" w:rsidRDefault="00BC2FED" w:rsidP="00BC2FED">
            <w:pPr>
              <w:pStyle w:val="TableRowCentered"/>
              <w:jc w:val="left"/>
              <w:rPr>
                <w:color w:val="auto"/>
                <w:sz w:val="22"/>
                <w:szCs w:val="22"/>
              </w:rPr>
            </w:pPr>
            <w:r w:rsidRPr="00E27862">
              <w:rPr>
                <w:color w:val="auto"/>
                <w:sz w:val="22"/>
                <w:szCs w:val="22"/>
              </w:rPr>
              <w:t>1</w:t>
            </w:r>
          </w:p>
          <w:p w14:paraId="6787D54C" w14:textId="77777777" w:rsidR="004D76C6" w:rsidRDefault="004D76C6" w:rsidP="00BC2FED">
            <w:pPr>
              <w:pStyle w:val="TableRowCentered"/>
              <w:jc w:val="left"/>
              <w:rPr>
                <w:color w:val="auto"/>
                <w:sz w:val="22"/>
                <w:szCs w:val="22"/>
              </w:rPr>
            </w:pPr>
          </w:p>
          <w:p w14:paraId="2A7D5520" w14:textId="64B903C8" w:rsidR="004D76C6" w:rsidRPr="00E27862" w:rsidRDefault="004D76C6" w:rsidP="00BC2FED">
            <w:pPr>
              <w:pStyle w:val="TableRowCentered"/>
              <w:jc w:val="left"/>
              <w:rPr>
                <w:color w:val="auto"/>
                <w:sz w:val="22"/>
                <w:szCs w:val="22"/>
              </w:rPr>
            </w:pPr>
            <w:r>
              <w:rPr>
                <w:color w:val="auto"/>
              </w:rPr>
              <w:t>£9,000</w:t>
            </w:r>
          </w:p>
        </w:tc>
      </w:tr>
      <w:tr w:rsidR="00BC2FED" w14:paraId="0DFA136F"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AE21E2" w14:textId="77777777" w:rsidR="00530892" w:rsidRPr="00E27862" w:rsidRDefault="00530892" w:rsidP="00530892">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36B16CB5" w14:textId="5156A534" w:rsidR="00BC2FED" w:rsidRPr="00E27862" w:rsidRDefault="00530892" w:rsidP="00530892">
            <w:pPr>
              <w:suppressAutoHyphens w:val="0"/>
              <w:autoSpaceDN/>
              <w:spacing w:before="60" w:line="240" w:lineRule="auto"/>
              <w:ind w:left="29" w:right="57"/>
              <w:rPr>
                <w:iCs/>
                <w:color w:val="auto"/>
                <w:lang w:val="en-US"/>
              </w:rPr>
            </w:pPr>
            <w:r w:rsidRPr="00E27862">
              <w:rPr>
                <w:color w:val="auto"/>
              </w:rPr>
              <w:t>We will fund teacher release time to embed key elements of guidance in school and to access Maths Hub resources and CPD (including Teaching for Mastery training).</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BF9780" w14:textId="768F119A" w:rsidR="00530892" w:rsidRDefault="00530892" w:rsidP="00036988">
            <w:pPr>
              <w:suppressAutoHyphens w:val="0"/>
              <w:autoSpaceDN/>
              <w:spacing w:before="60" w:after="60" w:line="240" w:lineRule="auto"/>
              <w:ind w:left="57" w:right="57"/>
              <w:rPr>
                <w:rFonts w:cs="Arial"/>
                <w:color w:val="auto"/>
              </w:rPr>
            </w:pPr>
            <w:r>
              <w:rPr>
                <w:rFonts w:cs="Arial"/>
                <w:color w:val="auto"/>
              </w:rPr>
              <w:t>4</w:t>
            </w:r>
            <w:r w:rsidRPr="00530892">
              <w:rPr>
                <w:rFonts w:cs="Arial"/>
                <w:color w:val="auto"/>
                <w:vertAlign w:val="superscript"/>
              </w:rPr>
              <w:t>th</w:t>
            </w:r>
            <w:r>
              <w:rPr>
                <w:rFonts w:cs="Arial"/>
                <w:color w:val="auto"/>
              </w:rPr>
              <w:t xml:space="preserve"> Teacher for KS2 to support teaching in year groups in the juniors. Small groups and focused teaching for year group objectives.</w:t>
            </w:r>
          </w:p>
          <w:p w14:paraId="025DF0E2" w14:textId="77777777" w:rsidR="00530892" w:rsidRDefault="00530892" w:rsidP="00530892">
            <w:pPr>
              <w:suppressAutoHyphens w:val="0"/>
              <w:autoSpaceDN/>
              <w:spacing w:before="60" w:after="120" w:line="240" w:lineRule="auto"/>
              <w:ind w:left="57" w:right="57"/>
            </w:pPr>
            <w:r>
              <w:rPr>
                <w:rFonts w:cs="Arial"/>
                <w:color w:val="auto"/>
              </w:rPr>
              <w:t>Maths lead released to support Maths Hub development.</w:t>
            </w:r>
            <w:r>
              <w:t xml:space="preserve"> </w:t>
            </w:r>
          </w:p>
          <w:p w14:paraId="26BC29B9" w14:textId="288145C2" w:rsidR="00530892" w:rsidRPr="00D01A6D" w:rsidRDefault="008E6273" w:rsidP="00530892">
            <w:pPr>
              <w:suppressAutoHyphens w:val="0"/>
              <w:autoSpaceDN/>
              <w:spacing w:before="60" w:after="120" w:line="240" w:lineRule="auto"/>
              <w:ind w:left="57" w:right="57"/>
              <w:rPr>
                <w:rFonts w:cs="Arial"/>
                <w:iCs/>
                <w:color w:val="0070C0"/>
              </w:rPr>
            </w:pPr>
            <w:hyperlink r:id="rId11" w:history="1">
              <w:r w:rsidR="00530892" w:rsidRPr="00D01A6D">
                <w:rPr>
                  <w:color w:val="0070C0"/>
                  <w:u w:val="single"/>
                </w:rPr>
                <w:t>Maths_guidance_KS_1_and_2.pdf (publishing.service.gov.uk)</w:t>
              </w:r>
            </w:hyperlink>
          </w:p>
          <w:p w14:paraId="1B995A27" w14:textId="77777777" w:rsidR="00530892" w:rsidRPr="00E27862" w:rsidRDefault="00530892" w:rsidP="00530892">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4FA42BDA" w14:textId="1332A2AD" w:rsidR="00530892" w:rsidRPr="00E27862" w:rsidRDefault="008E6273" w:rsidP="004D76C6">
            <w:pPr>
              <w:suppressAutoHyphens w:val="0"/>
              <w:autoSpaceDN/>
              <w:spacing w:before="60" w:after="60" w:line="240" w:lineRule="auto"/>
              <w:ind w:left="57" w:right="57"/>
              <w:rPr>
                <w:rFonts w:cs="Arial"/>
                <w:color w:val="auto"/>
              </w:rPr>
            </w:pPr>
            <w:hyperlink r:id="rId12" w:history="1">
              <w:r w:rsidR="00530892" w:rsidRPr="000106A2">
                <w:rPr>
                  <w:rStyle w:val="Hyperlink"/>
                  <w:rFonts w:cs="Arial"/>
                  <w:color w:val="0070C0"/>
                </w:rPr>
                <w:t>Improving Mathematics in Key Stages 2 and 3</w:t>
              </w:r>
            </w:hyperlink>
            <w:r w:rsidR="004D76C6">
              <w:rPr>
                <w:rStyle w:val="Hyperlink"/>
                <w:rFonts w:cs="Arial"/>
                <w:color w:val="0070C0"/>
              </w:rPr>
              <w:t xml:space="preserve"> </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1091B" w14:textId="2B9A844A" w:rsidR="004D76C6" w:rsidRDefault="004D76C6" w:rsidP="00BC2FED">
            <w:pPr>
              <w:pStyle w:val="TableRowCentered"/>
              <w:jc w:val="left"/>
              <w:rPr>
                <w:rStyle w:val="Hyperlink"/>
                <w:rFonts w:cs="Arial"/>
                <w:color w:val="auto"/>
              </w:rPr>
            </w:pPr>
            <w:r w:rsidRPr="00E27862">
              <w:rPr>
                <w:color w:val="auto"/>
                <w:szCs w:val="24"/>
              </w:rPr>
              <w:t>2</w:t>
            </w:r>
          </w:p>
          <w:p w14:paraId="37A817AB" w14:textId="77777777" w:rsidR="004D76C6" w:rsidRDefault="004D76C6" w:rsidP="00BC2FED">
            <w:pPr>
              <w:pStyle w:val="TableRowCentered"/>
              <w:jc w:val="left"/>
              <w:rPr>
                <w:rStyle w:val="Hyperlink"/>
                <w:rFonts w:cs="Arial"/>
                <w:color w:val="auto"/>
              </w:rPr>
            </w:pPr>
          </w:p>
          <w:p w14:paraId="06416A98" w14:textId="77777777" w:rsidR="004D76C6" w:rsidRDefault="004D76C6" w:rsidP="00BC2FED">
            <w:pPr>
              <w:pStyle w:val="TableRowCentered"/>
              <w:jc w:val="left"/>
              <w:rPr>
                <w:rStyle w:val="Hyperlink"/>
                <w:rFonts w:cs="Arial"/>
                <w:color w:val="auto"/>
              </w:rPr>
            </w:pPr>
          </w:p>
          <w:p w14:paraId="32E663B3" w14:textId="77777777" w:rsidR="004D76C6" w:rsidRDefault="004D76C6" w:rsidP="00BC2FED">
            <w:pPr>
              <w:pStyle w:val="TableRowCentered"/>
              <w:jc w:val="left"/>
              <w:rPr>
                <w:rStyle w:val="Hyperlink"/>
                <w:rFonts w:cs="Arial"/>
                <w:color w:val="auto"/>
              </w:rPr>
            </w:pPr>
          </w:p>
          <w:p w14:paraId="4C2B837E" w14:textId="77777777" w:rsidR="004D76C6" w:rsidRDefault="004D76C6" w:rsidP="00BC2FED">
            <w:pPr>
              <w:pStyle w:val="TableRowCentered"/>
              <w:jc w:val="left"/>
              <w:rPr>
                <w:rStyle w:val="Hyperlink"/>
                <w:rFonts w:cs="Arial"/>
                <w:color w:val="auto"/>
              </w:rPr>
            </w:pPr>
          </w:p>
          <w:p w14:paraId="4BC41F98" w14:textId="77777777" w:rsidR="004D76C6" w:rsidRDefault="004D76C6" w:rsidP="00BC2FED">
            <w:pPr>
              <w:pStyle w:val="TableRowCentered"/>
              <w:jc w:val="left"/>
              <w:rPr>
                <w:rStyle w:val="Hyperlink"/>
                <w:rFonts w:cs="Arial"/>
                <w:color w:val="auto"/>
              </w:rPr>
            </w:pPr>
          </w:p>
          <w:p w14:paraId="6ADC57AE" w14:textId="77777777" w:rsidR="004D76C6" w:rsidRDefault="004D76C6" w:rsidP="00BC2FED">
            <w:pPr>
              <w:pStyle w:val="TableRowCentered"/>
              <w:jc w:val="left"/>
              <w:rPr>
                <w:rStyle w:val="Hyperlink"/>
                <w:rFonts w:cs="Arial"/>
                <w:color w:val="auto"/>
              </w:rPr>
            </w:pPr>
          </w:p>
          <w:p w14:paraId="68332AB3" w14:textId="23C08427" w:rsidR="00BC2FED" w:rsidRPr="00E27862" w:rsidRDefault="004D76C6" w:rsidP="004D76C6">
            <w:pPr>
              <w:pStyle w:val="TableRowCentered"/>
              <w:ind w:left="0"/>
              <w:jc w:val="left"/>
              <w:rPr>
                <w:color w:val="auto"/>
                <w:sz w:val="22"/>
                <w:szCs w:val="22"/>
              </w:rPr>
            </w:pPr>
            <w:r w:rsidRPr="004D76C6">
              <w:rPr>
                <w:rStyle w:val="Hyperlink"/>
                <w:rFonts w:cs="Arial"/>
                <w:color w:val="auto"/>
              </w:rPr>
              <w:t>£37,000</w:t>
            </w:r>
          </w:p>
        </w:tc>
      </w:tr>
      <w:tr w:rsidR="00BC2FED" w14:paraId="4C091B95"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20EA2B" w14:textId="77777777" w:rsidR="00530892" w:rsidRPr="00E27862" w:rsidRDefault="00530892" w:rsidP="00530892">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3C245BD9" w14:textId="090F765A" w:rsidR="00BC2FED" w:rsidRPr="00E27862" w:rsidRDefault="00BC2FED" w:rsidP="00BC2FED">
            <w:pPr>
              <w:suppressAutoHyphens w:val="0"/>
              <w:autoSpaceDN/>
              <w:spacing w:before="60" w:after="120" w:line="240" w:lineRule="auto"/>
              <w:ind w:left="29" w:right="57"/>
              <w:rPr>
                <w:rFonts w:cs="Arial"/>
                <w:iCs/>
                <w:color w:val="auto"/>
              </w:rPr>
            </w:pP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9D082C" w14:textId="77777777" w:rsidR="00BC2FED" w:rsidRDefault="004D76C6" w:rsidP="00BC2FED">
            <w:pPr>
              <w:pStyle w:val="TableRowCentered"/>
              <w:spacing w:after="120"/>
              <w:jc w:val="left"/>
              <w:rPr>
                <w:rFonts w:cs="Arial"/>
                <w:color w:val="auto"/>
                <w:szCs w:val="24"/>
              </w:rPr>
            </w:pPr>
            <w:r>
              <w:rPr>
                <w:rFonts w:cs="Arial"/>
                <w:color w:val="auto"/>
                <w:szCs w:val="24"/>
              </w:rPr>
              <w:t>ELSA</w:t>
            </w:r>
            <w:r w:rsidR="00530892">
              <w:rPr>
                <w:rFonts w:cs="Arial"/>
                <w:color w:val="auto"/>
                <w:szCs w:val="24"/>
              </w:rPr>
              <w:t xml:space="preserve"> suppor</w:t>
            </w:r>
            <w:r>
              <w:rPr>
                <w:rFonts w:cs="Arial"/>
                <w:color w:val="auto"/>
                <w:szCs w:val="24"/>
              </w:rPr>
              <w:t xml:space="preserve">t Is </w:t>
            </w:r>
            <w:r w:rsidR="00036988">
              <w:rPr>
                <w:rFonts w:cs="Arial"/>
                <w:color w:val="auto"/>
                <w:szCs w:val="24"/>
              </w:rPr>
              <w:t>offered to all children who</w:t>
            </w:r>
            <w:r w:rsidR="00530892">
              <w:rPr>
                <w:rFonts w:cs="Arial"/>
                <w:color w:val="auto"/>
                <w:szCs w:val="24"/>
              </w:rPr>
              <w:t xml:space="preserve"> have an identified need either by parents or staff</w:t>
            </w:r>
          </w:p>
          <w:p w14:paraId="59E476D0" w14:textId="2D055BBC" w:rsidR="004D76C6" w:rsidRPr="00E27862" w:rsidRDefault="004D76C6" w:rsidP="00BC2FED">
            <w:pPr>
              <w:pStyle w:val="TableRowCentered"/>
              <w:spacing w:after="120"/>
              <w:jc w:val="left"/>
              <w:rPr>
                <w:rFonts w:cs="Arial"/>
                <w:color w:val="auto"/>
                <w:szCs w:val="24"/>
              </w:rPr>
            </w:pP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90113" w14:textId="77777777" w:rsidR="00BC2FED" w:rsidRDefault="00530892" w:rsidP="00BC2FED">
            <w:pPr>
              <w:pStyle w:val="TableRowCentered"/>
              <w:jc w:val="left"/>
              <w:rPr>
                <w:color w:val="auto"/>
                <w:szCs w:val="24"/>
              </w:rPr>
            </w:pPr>
            <w:r w:rsidRPr="00E27862">
              <w:rPr>
                <w:color w:val="auto"/>
                <w:szCs w:val="24"/>
              </w:rPr>
              <w:t>3</w:t>
            </w:r>
          </w:p>
          <w:p w14:paraId="33A816D9" w14:textId="77777777" w:rsidR="004D76C6" w:rsidRDefault="004D76C6" w:rsidP="00BC2FED">
            <w:pPr>
              <w:pStyle w:val="TableRowCentered"/>
              <w:jc w:val="left"/>
              <w:rPr>
                <w:color w:val="auto"/>
                <w:szCs w:val="24"/>
              </w:rPr>
            </w:pPr>
          </w:p>
          <w:p w14:paraId="2CAEE161" w14:textId="1D814C30" w:rsidR="004D76C6" w:rsidRPr="00E27862" w:rsidRDefault="004D76C6" w:rsidP="00BC2FED">
            <w:pPr>
              <w:pStyle w:val="TableRowCentered"/>
              <w:jc w:val="left"/>
              <w:rPr>
                <w:color w:val="auto"/>
                <w:szCs w:val="24"/>
              </w:rPr>
            </w:pPr>
            <w:r>
              <w:rPr>
                <w:color w:val="auto"/>
                <w:szCs w:val="24"/>
              </w:rPr>
              <w:t>£2,800</w:t>
            </w:r>
          </w:p>
        </w:tc>
      </w:tr>
      <w:tr w:rsidR="00036988" w14:paraId="185001DD"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FA316" w14:textId="75D3F2C6" w:rsidR="00036988" w:rsidRDefault="00036988" w:rsidP="00036988">
            <w:pPr>
              <w:pStyle w:val="TableRow"/>
              <w:spacing w:after="120"/>
              <w:rPr>
                <w:rFonts w:cs="Arial"/>
                <w:iCs/>
                <w:color w:val="auto"/>
                <w:lang w:val="en-US"/>
              </w:rPr>
            </w:pPr>
            <w:r w:rsidRPr="00E27862">
              <w:rPr>
                <w:rFonts w:cs="Arial"/>
                <w:iCs/>
                <w:color w:val="auto"/>
                <w:lang w:val="en-US"/>
              </w:rPr>
              <w:lastRenderedPageBreak/>
              <w:t>Engaging</w:t>
            </w:r>
            <w:r>
              <w:rPr>
                <w:rFonts w:cs="Arial"/>
                <w:iCs/>
                <w:color w:val="auto"/>
                <w:lang w:val="en-US"/>
              </w:rPr>
              <w:t xml:space="preserve"> with the National Tutoring Pro</w:t>
            </w:r>
            <w:r w:rsidRPr="00E27862">
              <w:rPr>
                <w:rFonts w:cs="Arial"/>
                <w:iCs/>
                <w:color w:val="auto"/>
                <w:lang w:val="en-US"/>
              </w:rPr>
              <w:t xml:space="preserve">gramme to provide </w:t>
            </w:r>
            <w:r>
              <w:rPr>
                <w:rFonts w:cs="Arial"/>
                <w:iCs/>
                <w:color w:val="auto"/>
                <w:lang w:val="en-US"/>
              </w:rPr>
              <w:t xml:space="preserve">1-1 support or small </w:t>
            </w:r>
            <w:r w:rsidR="00C70917">
              <w:rPr>
                <w:rFonts w:cs="Arial"/>
                <w:iCs/>
                <w:color w:val="auto"/>
                <w:lang w:val="en-US"/>
              </w:rPr>
              <w:t>group support</w:t>
            </w:r>
          </w:p>
          <w:p w14:paraId="52707CE6" w14:textId="06A2469F" w:rsidR="00036988" w:rsidRDefault="00036988" w:rsidP="00036988">
            <w:pPr>
              <w:pStyle w:val="TableRow"/>
              <w:spacing w:after="120"/>
              <w:rPr>
                <w:rFonts w:cs="Arial"/>
                <w:iCs/>
                <w:color w:val="auto"/>
                <w:lang w:val="en-US"/>
              </w:rPr>
            </w:pPr>
            <w:r>
              <w:rPr>
                <w:rFonts w:cs="Arial"/>
                <w:iCs/>
                <w:color w:val="auto"/>
                <w:lang w:val="en-US"/>
              </w:rPr>
              <w:t xml:space="preserve">16 children are funded through this </w:t>
            </w:r>
            <w:r w:rsidR="00C70917">
              <w:rPr>
                <w:rFonts w:cs="Arial"/>
                <w:iCs/>
                <w:color w:val="auto"/>
                <w:lang w:val="en-US"/>
              </w:rPr>
              <w:t>Programme</w:t>
            </w:r>
            <w:r>
              <w:rPr>
                <w:rFonts w:cs="Arial"/>
                <w:iCs/>
                <w:color w:val="auto"/>
                <w:lang w:val="en-US"/>
              </w:rPr>
              <w:t>.</w:t>
            </w:r>
          </w:p>
          <w:p w14:paraId="1B8F6428" w14:textId="407471B3" w:rsidR="00036988" w:rsidRPr="00E27862" w:rsidRDefault="00036988" w:rsidP="00036988">
            <w:pPr>
              <w:suppressAutoHyphens w:val="0"/>
              <w:autoSpaceDN/>
              <w:spacing w:before="60" w:after="0" w:line="240" w:lineRule="auto"/>
              <w:ind w:left="29"/>
              <w:rPr>
                <w:rFonts w:cs="Arial"/>
                <w:iCs/>
                <w:color w:val="auto"/>
                <w:lang w:val="en-US" w:eastAsia="en-US"/>
              </w:rPr>
            </w:pPr>
            <w:r w:rsidRPr="00E27862">
              <w:rPr>
                <w:rFonts w:cs="Arial"/>
                <w:iCs/>
                <w:color w:val="auto"/>
                <w:lang w:val="en-US"/>
              </w:rPr>
              <w:t>A significant proportion of the pupils who receive tutoring will be disadvantaged, including those who are high attainers.</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3ABA51" w14:textId="77777777" w:rsidR="00036988" w:rsidRPr="00E27862" w:rsidRDefault="00036988" w:rsidP="00036988">
            <w:pPr>
              <w:suppressAutoHyphens w:val="0"/>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3E0A8A8B" w14:textId="77777777" w:rsidR="00036988" w:rsidRPr="00094874" w:rsidRDefault="008E6273" w:rsidP="00036988">
            <w:pPr>
              <w:suppressAutoHyphens w:val="0"/>
              <w:autoSpaceDN/>
              <w:spacing w:before="60" w:after="60" w:line="240" w:lineRule="auto"/>
              <w:ind w:left="57" w:right="57"/>
              <w:rPr>
                <w:color w:val="0070C0"/>
              </w:rPr>
            </w:pPr>
            <w:hyperlink r:id="rId13" w:history="1">
              <w:r w:rsidR="00036988" w:rsidRPr="00094874">
                <w:rPr>
                  <w:color w:val="0070C0"/>
                  <w:u w:val="single"/>
                </w:rPr>
                <w:t>One to one tuition | EEF (educationendowmentfoundation.org.uk)</w:t>
              </w:r>
            </w:hyperlink>
          </w:p>
          <w:p w14:paraId="3571DD86" w14:textId="77777777" w:rsidR="00036988" w:rsidRPr="00E27862" w:rsidRDefault="00036988" w:rsidP="00036988">
            <w:pPr>
              <w:suppressAutoHyphens w:val="0"/>
              <w:autoSpaceDN/>
              <w:spacing w:before="60" w:after="60" w:line="240" w:lineRule="auto"/>
              <w:ind w:left="57" w:right="57"/>
              <w:rPr>
                <w:color w:val="auto"/>
              </w:rPr>
            </w:pPr>
            <w:r w:rsidRPr="00E27862">
              <w:rPr>
                <w:color w:val="auto"/>
              </w:rPr>
              <w:t>And in small groups:</w:t>
            </w:r>
          </w:p>
          <w:p w14:paraId="67021C55" w14:textId="6C4C2E26" w:rsidR="00036988" w:rsidRDefault="008E6273" w:rsidP="00036988">
            <w:pPr>
              <w:pStyle w:val="TableRowCentered"/>
              <w:spacing w:after="120"/>
              <w:jc w:val="left"/>
              <w:rPr>
                <w:rFonts w:cs="Arial"/>
                <w:color w:val="auto"/>
                <w:szCs w:val="24"/>
              </w:rPr>
            </w:pPr>
            <w:hyperlink r:id="rId14" w:history="1">
              <w:r w:rsidR="00036988" w:rsidRPr="009A7AA4">
                <w:rPr>
                  <w:color w:val="0070C0"/>
                  <w:u w:val="single"/>
                </w:rPr>
                <w:t>Small group tuition | Toolkit Strand | Education Endowment Foundation | EEF</w:t>
              </w:r>
            </w:hyperlink>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0CC96" w14:textId="77777777" w:rsidR="00036988" w:rsidRDefault="00036988" w:rsidP="00036988">
            <w:pPr>
              <w:pStyle w:val="TableRowCentered"/>
              <w:jc w:val="left"/>
              <w:rPr>
                <w:color w:val="auto"/>
                <w:szCs w:val="22"/>
              </w:rPr>
            </w:pPr>
            <w:r w:rsidRPr="00295351">
              <w:rPr>
                <w:color w:val="auto"/>
                <w:szCs w:val="22"/>
              </w:rPr>
              <w:t>4</w:t>
            </w:r>
          </w:p>
          <w:p w14:paraId="01877174" w14:textId="77777777" w:rsidR="004D76C6" w:rsidRDefault="004D76C6" w:rsidP="00036988">
            <w:pPr>
              <w:pStyle w:val="TableRowCentered"/>
              <w:jc w:val="left"/>
              <w:rPr>
                <w:color w:val="auto"/>
                <w:szCs w:val="22"/>
              </w:rPr>
            </w:pPr>
          </w:p>
          <w:p w14:paraId="52294948" w14:textId="77777777" w:rsidR="004D76C6" w:rsidRDefault="004D76C6" w:rsidP="00036988">
            <w:pPr>
              <w:pStyle w:val="TableRowCentered"/>
              <w:jc w:val="left"/>
              <w:rPr>
                <w:color w:val="auto"/>
                <w:szCs w:val="22"/>
              </w:rPr>
            </w:pPr>
          </w:p>
          <w:p w14:paraId="25527C78" w14:textId="77777777" w:rsidR="004D76C6" w:rsidRDefault="004D76C6" w:rsidP="00036988">
            <w:pPr>
              <w:pStyle w:val="TableRowCentered"/>
              <w:jc w:val="left"/>
              <w:rPr>
                <w:color w:val="auto"/>
                <w:szCs w:val="22"/>
              </w:rPr>
            </w:pPr>
          </w:p>
          <w:p w14:paraId="69D02267" w14:textId="77777777" w:rsidR="004D76C6" w:rsidRDefault="004D76C6" w:rsidP="00036988">
            <w:pPr>
              <w:pStyle w:val="TableRowCentered"/>
              <w:jc w:val="left"/>
              <w:rPr>
                <w:color w:val="auto"/>
                <w:szCs w:val="22"/>
              </w:rPr>
            </w:pPr>
          </w:p>
          <w:p w14:paraId="160B8B1F" w14:textId="77777777" w:rsidR="004D76C6" w:rsidRDefault="004D76C6" w:rsidP="00036988">
            <w:pPr>
              <w:pStyle w:val="TableRowCentered"/>
              <w:jc w:val="left"/>
              <w:rPr>
                <w:color w:val="auto"/>
                <w:szCs w:val="22"/>
              </w:rPr>
            </w:pPr>
          </w:p>
          <w:p w14:paraId="5705E5DC" w14:textId="2C8FC096" w:rsidR="004D76C6" w:rsidRPr="00E27862" w:rsidRDefault="004D76C6" w:rsidP="004D76C6">
            <w:pPr>
              <w:pStyle w:val="TableRowCentered"/>
              <w:ind w:left="0"/>
              <w:jc w:val="left"/>
              <w:rPr>
                <w:color w:val="auto"/>
                <w:szCs w:val="24"/>
              </w:rPr>
            </w:pPr>
            <w:r>
              <w:rPr>
                <w:color w:val="auto"/>
                <w:szCs w:val="22"/>
              </w:rPr>
              <w:t>£3,700</w:t>
            </w:r>
          </w:p>
        </w:tc>
      </w:tr>
    </w:tbl>
    <w:p w14:paraId="60F0C57E" w14:textId="0E7EC30C" w:rsidR="00307325" w:rsidRDefault="00307325" w:rsidP="00877501">
      <w:pPr>
        <w:spacing w:after="120"/>
        <w:rPr>
          <w:b/>
          <w:bCs/>
          <w:color w:val="104F75"/>
          <w:sz w:val="28"/>
          <w:szCs w:val="28"/>
        </w:rPr>
      </w:pPr>
    </w:p>
    <w:p w14:paraId="2A7D5541" w14:textId="6314F71A" w:rsidR="00E66558" w:rsidRDefault="009D71E8" w:rsidP="00877501">
      <w:r>
        <w:rPr>
          <w:b/>
          <w:bCs/>
          <w:color w:val="104F75"/>
          <w:sz w:val="28"/>
          <w:szCs w:val="28"/>
        </w:rPr>
        <w:t xml:space="preserve">Total budgeted cost: </w:t>
      </w:r>
      <w:r w:rsidR="004D76C6">
        <w:rPr>
          <w:b/>
          <w:bCs/>
          <w:color w:val="104F75"/>
          <w:sz w:val="28"/>
          <w:szCs w:val="28"/>
        </w:rPr>
        <w:t xml:space="preserve"> PP </w:t>
      </w:r>
      <w:r w:rsidRPr="00E27862">
        <w:rPr>
          <w:b/>
          <w:bCs/>
          <w:color w:val="auto"/>
          <w:sz w:val="28"/>
          <w:szCs w:val="28"/>
        </w:rPr>
        <w:t>£</w:t>
      </w:r>
      <w:r w:rsidR="00297EB8">
        <w:rPr>
          <w:b/>
          <w:bCs/>
          <w:color w:val="auto"/>
          <w:sz w:val="28"/>
          <w:szCs w:val="28"/>
        </w:rPr>
        <w:t>45,000</w:t>
      </w:r>
      <w:r w:rsidR="004D76C6">
        <w:rPr>
          <w:b/>
          <w:bCs/>
          <w:color w:val="auto"/>
          <w:sz w:val="28"/>
          <w:szCs w:val="28"/>
        </w:rPr>
        <w:t xml:space="preserve"> + 7,500 from school budget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15021" w:type="dxa"/>
        <w:tblCellMar>
          <w:left w:w="10" w:type="dxa"/>
          <w:right w:w="10" w:type="dxa"/>
        </w:tblCellMar>
        <w:tblLook w:val="04A0" w:firstRow="1" w:lastRow="0" w:firstColumn="1" w:lastColumn="0" w:noHBand="0" w:noVBand="1"/>
      </w:tblPr>
      <w:tblGrid>
        <w:gridCol w:w="15021"/>
      </w:tblGrid>
      <w:tr w:rsidR="00E66558" w14:paraId="2A7D5547" w14:textId="77777777" w:rsidTr="003C779C">
        <w:trPr>
          <w:trHeight w:val="1102"/>
        </w:trPr>
        <w:tc>
          <w:tcPr>
            <w:tcW w:w="1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DCE7F" w14:textId="5F956B4B" w:rsidR="00666217" w:rsidRPr="00DA5FE8" w:rsidRDefault="00905DE7" w:rsidP="00905DE7">
            <w:pPr>
              <w:suppressAutoHyphens w:val="0"/>
              <w:autoSpaceDN/>
              <w:spacing w:before="120"/>
              <w:rPr>
                <w:rFonts w:asciiTheme="minorHAnsi" w:hAnsiTheme="minorHAnsi" w:cstheme="minorHAnsi"/>
                <w:color w:val="auto"/>
                <w:lang w:eastAsia="en-US"/>
              </w:rPr>
            </w:pPr>
            <w:r w:rsidRPr="00DA5FE8">
              <w:rPr>
                <w:rFonts w:asciiTheme="minorHAnsi" w:hAnsiTheme="minorHAnsi" w:cstheme="minorHAnsi"/>
                <w:color w:val="auto"/>
                <w:lang w:eastAsia="en-US"/>
              </w:rPr>
              <w:t>Our internal</w:t>
            </w:r>
            <w:r w:rsidR="003A00EB" w:rsidRPr="00DA5FE8">
              <w:rPr>
                <w:rFonts w:asciiTheme="minorHAnsi" w:hAnsiTheme="minorHAnsi" w:cstheme="minorHAnsi"/>
                <w:color w:val="auto"/>
                <w:lang w:eastAsia="en-US"/>
              </w:rPr>
              <w:t xml:space="preserve"> </w:t>
            </w:r>
            <w:r w:rsidR="000313D6" w:rsidRPr="00DA5FE8">
              <w:rPr>
                <w:rFonts w:asciiTheme="minorHAnsi" w:hAnsiTheme="minorHAnsi" w:cstheme="minorHAnsi"/>
                <w:color w:val="auto"/>
                <w:lang w:eastAsia="en-US"/>
              </w:rPr>
              <w:t xml:space="preserve">assessments </w:t>
            </w:r>
            <w:r w:rsidRPr="00DA5FE8">
              <w:rPr>
                <w:rFonts w:asciiTheme="minorHAnsi" w:hAnsiTheme="minorHAnsi" w:cstheme="minorHAnsi"/>
                <w:color w:val="auto"/>
                <w:lang w:eastAsia="en-US"/>
              </w:rPr>
              <w:t xml:space="preserve">during 2020/21 </w:t>
            </w:r>
            <w:r w:rsidR="00DA4032" w:rsidRPr="00DA5FE8">
              <w:rPr>
                <w:rFonts w:asciiTheme="minorHAnsi" w:hAnsiTheme="minorHAnsi" w:cstheme="minorHAnsi"/>
                <w:color w:val="auto"/>
                <w:lang w:eastAsia="en-US"/>
              </w:rPr>
              <w:t>sugges</w:t>
            </w:r>
            <w:r w:rsidRPr="00DA5FE8">
              <w:rPr>
                <w:rFonts w:asciiTheme="minorHAnsi" w:hAnsiTheme="minorHAnsi" w:cstheme="minorHAnsi"/>
                <w:color w:val="auto"/>
                <w:lang w:eastAsia="en-US"/>
              </w:rPr>
              <w:t>t</w:t>
            </w:r>
            <w:r w:rsidR="00546DAC" w:rsidRPr="00DA5FE8">
              <w:rPr>
                <w:rFonts w:asciiTheme="minorHAnsi" w:hAnsiTheme="minorHAnsi" w:cstheme="minorHAnsi"/>
                <w:color w:val="auto"/>
                <w:lang w:eastAsia="en-US"/>
              </w:rPr>
              <w:t>ed</w:t>
            </w:r>
            <w:r w:rsidRPr="00DA5FE8">
              <w:rPr>
                <w:rFonts w:asciiTheme="minorHAnsi" w:hAnsiTheme="minorHAnsi" w:cstheme="minorHAnsi"/>
                <w:color w:val="auto"/>
                <w:lang w:eastAsia="en-US"/>
              </w:rPr>
              <w:t xml:space="preserve"> that </w:t>
            </w:r>
            <w:r w:rsidR="008055CE" w:rsidRPr="00DA5FE8">
              <w:rPr>
                <w:rFonts w:asciiTheme="minorHAnsi" w:hAnsiTheme="minorHAnsi" w:cstheme="minorHAnsi"/>
                <w:color w:val="auto"/>
                <w:lang w:eastAsia="en-US"/>
              </w:rPr>
              <w:t>the performance</w:t>
            </w:r>
            <w:r w:rsidRPr="00DA5FE8">
              <w:rPr>
                <w:rFonts w:asciiTheme="minorHAnsi" w:hAnsiTheme="minorHAnsi" w:cstheme="minorHAnsi"/>
                <w:color w:val="auto"/>
                <w:lang w:eastAsia="en-US"/>
              </w:rPr>
              <w:t xml:space="preserve"> </w:t>
            </w:r>
            <w:r w:rsidR="008055CE" w:rsidRPr="00DA5FE8">
              <w:rPr>
                <w:rFonts w:asciiTheme="minorHAnsi" w:hAnsiTheme="minorHAnsi" w:cstheme="minorHAnsi"/>
                <w:color w:val="auto"/>
                <w:lang w:eastAsia="en-US"/>
              </w:rPr>
              <w:t xml:space="preserve">of </w:t>
            </w:r>
            <w:r w:rsidRPr="00DA5FE8">
              <w:rPr>
                <w:rFonts w:asciiTheme="minorHAnsi" w:hAnsiTheme="minorHAnsi" w:cstheme="minorHAnsi"/>
                <w:color w:val="auto"/>
                <w:lang w:eastAsia="en-US"/>
              </w:rPr>
              <w:t xml:space="preserve">disadvantaged pupils </w:t>
            </w:r>
            <w:r w:rsidR="008055CE" w:rsidRPr="00DA5FE8">
              <w:rPr>
                <w:rFonts w:asciiTheme="minorHAnsi" w:hAnsiTheme="minorHAnsi" w:cstheme="minorHAnsi"/>
                <w:color w:val="auto"/>
                <w:lang w:eastAsia="en-US"/>
              </w:rPr>
              <w:t>was</w:t>
            </w:r>
            <w:r w:rsidRPr="00DA5FE8">
              <w:rPr>
                <w:rFonts w:asciiTheme="minorHAnsi" w:hAnsiTheme="minorHAnsi" w:cstheme="minorHAnsi"/>
                <w:color w:val="auto"/>
                <w:lang w:eastAsia="en-US"/>
              </w:rPr>
              <w:t xml:space="preserve"> lower than in the </w:t>
            </w:r>
            <w:r w:rsidR="00F34472" w:rsidRPr="00DA5FE8">
              <w:rPr>
                <w:rFonts w:asciiTheme="minorHAnsi" w:hAnsiTheme="minorHAnsi" w:cstheme="minorHAnsi"/>
                <w:color w:val="auto"/>
                <w:lang w:eastAsia="en-US"/>
              </w:rPr>
              <w:t xml:space="preserve">previous </w:t>
            </w:r>
            <w:r w:rsidRPr="00DA5FE8">
              <w:rPr>
                <w:rFonts w:asciiTheme="minorHAnsi" w:hAnsiTheme="minorHAnsi" w:cstheme="minorHAnsi"/>
                <w:color w:val="auto"/>
                <w:lang w:eastAsia="en-US"/>
              </w:rPr>
              <w:t xml:space="preserve">years in </w:t>
            </w:r>
            <w:r w:rsidR="009D6E64" w:rsidRPr="00DA5FE8">
              <w:rPr>
                <w:rFonts w:asciiTheme="minorHAnsi" w:hAnsiTheme="minorHAnsi" w:cstheme="minorHAnsi"/>
                <w:color w:val="auto"/>
                <w:lang w:eastAsia="en-US"/>
              </w:rPr>
              <w:t>key</w:t>
            </w:r>
            <w:r w:rsidRPr="00DA5FE8">
              <w:rPr>
                <w:rFonts w:asciiTheme="minorHAnsi" w:hAnsiTheme="minorHAnsi" w:cstheme="minorHAnsi"/>
                <w:color w:val="auto"/>
                <w:lang w:eastAsia="en-US"/>
              </w:rPr>
              <w:t xml:space="preserve"> </w:t>
            </w:r>
            <w:r w:rsidR="009000B1" w:rsidRPr="00DA5FE8">
              <w:rPr>
                <w:rFonts w:asciiTheme="minorHAnsi" w:hAnsiTheme="minorHAnsi" w:cstheme="minorHAnsi"/>
                <w:color w:val="auto"/>
                <w:lang w:eastAsia="en-US"/>
              </w:rPr>
              <w:t>areas</w:t>
            </w:r>
            <w:r w:rsidR="00D27B7B" w:rsidRPr="00DA5FE8">
              <w:rPr>
                <w:rFonts w:asciiTheme="minorHAnsi" w:hAnsiTheme="minorHAnsi" w:cstheme="minorHAnsi"/>
                <w:color w:val="auto"/>
                <w:lang w:eastAsia="en-US"/>
              </w:rPr>
              <w:t xml:space="preserve"> of the curriculum</w:t>
            </w:r>
            <w:r w:rsidR="00427DF1" w:rsidRPr="00DA5FE8">
              <w:rPr>
                <w:rFonts w:asciiTheme="minorHAnsi" w:hAnsiTheme="minorHAnsi" w:cstheme="minorHAnsi"/>
                <w:color w:val="auto"/>
                <w:lang w:eastAsia="en-US"/>
              </w:rPr>
              <w:t>.</w:t>
            </w:r>
            <w:r w:rsidRPr="00DA5FE8">
              <w:rPr>
                <w:rFonts w:asciiTheme="minorHAnsi" w:hAnsiTheme="minorHAnsi" w:cstheme="minorHAnsi"/>
                <w:color w:val="auto"/>
                <w:lang w:eastAsia="en-US"/>
              </w:rPr>
              <w:t xml:space="preserve"> </w:t>
            </w:r>
            <w:r w:rsidR="00DA5FE8">
              <w:rPr>
                <w:rFonts w:asciiTheme="minorHAnsi" w:hAnsiTheme="minorHAnsi" w:cstheme="minorHAnsi"/>
                <w:color w:val="auto"/>
                <w:lang w:eastAsia="en-US"/>
              </w:rPr>
              <w:t>However, the majority of PP pupils have achieved</w:t>
            </w:r>
            <w:r w:rsidR="00653500" w:rsidRPr="00DA5FE8">
              <w:rPr>
                <w:rFonts w:asciiTheme="minorHAnsi" w:hAnsiTheme="minorHAnsi" w:cstheme="minorHAnsi"/>
                <w:color w:val="auto"/>
                <w:lang w:eastAsia="en-US"/>
              </w:rPr>
              <w:t xml:space="preserve"> the outcomes we aimed to achieve in our previous strategy by the end of 2020/21 </w:t>
            </w:r>
            <w:r w:rsidR="00DA5FE8">
              <w:rPr>
                <w:rFonts w:asciiTheme="minorHAnsi" w:hAnsiTheme="minorHAnsi" w:cstheme="minorHAnsi"/>
                <w:color w:val="auto"/>
                <w:lang w:eastAsia="en-US"/>
              </w:rPr>
              <w:t xml:space="preserve">although we recognise that not all interventions </w:t>
            </w:r>
            <w:r w:rsidR="00DA5FE8" w:rsidRPr="00DA5FE8">
              <w:rPr>
                <w:rFonts w:asciiTheme="minorHAnsi" w:hAnsiTheme="minorHAnsi" w:cstheme="minorHAnsi"/>
                <w:color w:val="auto"/>
                <w:lang w:eastAsia="en-US"/>
              </w:rPr>
              <w:t>were fully</w:t>
            </w:r>
            <w:r w:rsidR="00653500" w:rsidRPr="00DA5FE8">
              <w:rPr>
                <w:rFonts w:asciiTheme="minorHAnsi" w:hAnsiTheme="minorHAnsi" w:cstheme="minorHAnsi"/>
                <w:color w:val="auto"/>
                <w:lang w:eastAsia="en-US"/>
              </w:rPr>
              <w:t xml:space="preserve"> realised.</w:t>
            </w:r>
          </w:p>
          <w:tbl>
            <w:tblPr>
              <w:tblStyle w:val="TableGrid"/>
              <w:tblW w:w="0" w:type="auto"/>
              <w:tblLook w:val="04A0" w:firstRow="1" w:lastRow="0" w:firstColumn="1" w:lastColumn="0" w:noHBand="0" w:noVBand="1"/>
            </w:tblPr>
            <w:tblGrid>
              <w:gridCol w:w="1868"/>
              <w:gridCol w:w="1869"/>
              <w:gridCol w:w="1537"/>
              <w:gridCol w:w="1276"/>
            </w:tblGrid>
            <w:tr w:rsidR="00A82ADC" w:rsidRPr="00DA5FE8" w14:paraId="611C5205" w14:textId="77777777" w:rsidTr="00711D2A">
              <w:trPr>
                <w:trHeight w:val="215"/>
              </w:trPr>
              <w:tc>
                <w:tcPr>
                  <w:tcW w:w="1868" w:type="dxa"/>
                </w:tcPr>
                <w:p w14:paraId="40CCD03C" w14:textId="018E3909" w:rsidR="00A82ADC" w:rsidRPr="00DA5FE8" w:rsidRDefault="00DA5FE8" w:rsidP="00A82ADC">
                  <w:pPr>
                    <w:suppressAutoHyphens w:val="0"/>
                    <w:autoSpaceDN/>
                    <w:spacing w:after="0"/>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2020/2021</w:t>
                  </w:r>
                </w:p>
              </w:tc>
              <w:tc>
                <w:tcPr>
                  <w:tcW w:w="1869" w:type="dxa"/>
                </w:tcPr>
                <w:p w14:paraId="0C5D5BE0" w14:textId="3C88ACF1"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Percentage making expected progress from starting points</w:t>
                  </w:r>
                </w:p>
              </w:tc>
              <w:tc>
                <w:tcPr>
                  <w:tcW w:w="1537" w:type="dxa"/>
                </w:tcPr>
                <w:p w14:paraId="3B4E459E" w14:textId="77777777"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w:t>
                  </w:r>
                </w:p>
                <w:p w14:paraId="05C5FDF0" w14:textId="2686A424"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ARE +</w:t>
                  </w:r>
                </w:p>
              </w:tc>
              <w:tc>
                <w:tcPr>
                  <w:tcW w:w="1276" w:type="dxa"/>
                </w:tcPr>
                <w:p w14:paraId="758B542E" w14:textId="77777777"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w:t>
                  </w:r>
                </w:p>
                <w:p w14:paraId="749A5E30" w14:textId="5BDDE4F2"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GD</w:t>
                  </w:r>
                </w:p>
              </w:tc>
            </w:tr>
            <w:tr w:rsidR="00A82ADC" w:rsidRPr="00DA5FE8" w14:paraId="051BBEEB" w14:textId="77777777" w:rsidTr="00711D2A">
              <w:trPr>
                <w:trHeight w:val="219"/>
              </w:trPr>
              <w:tc>
                <w:tcPr>
                  <w:tcW w:w="1868" w:type="dxa"/>
                </w:tcPr>
                <w:p w14:paraId="168369F4" w14:textId="5EBF4928"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Reading</w:t>
                  </w:r>
                </w:p>
              </w:tc>
              <w:tc>
                <w:tcPr>
                  <w:tcW w:w="1869" w:type="dxa"/>
                </w:tcPr>
                <w:p w14:paraId="4A846AD7" w14:textId="2F3084B7"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75%  (18/24)</w:t>
                  </w:r>
                  <w:r w:rsidR="00D76881">
                    <w:rPr>
                      <w:rFonts w:asciiTheme="minorHAnsi" w:hAnsiTheme="minorHAnsi" w:cstheme="minorHAnsi"/>
                      <w:color w:val="auto"/>
                      <w:sz w:val="20"/>
                      <w:szCs w:val="20"/>
                      <w:lang w:eastAsia="en-US"/>
                    </w:rPr>
                    <w:t>*</w:t>
                  </w:r>
                </w:p>
              </w:tc>
              <w:tc>
                <w:tcPr>
                  <w:tcW w:w="1537" w:type="dxa"/>
                </w:tcPr>
                <w:p w14:paraId="6288AEE2" w14:textId="565F541A" w:rsidR="00A82ADC" w:rsidRPr="00DA5FE8" w:rsidRDefault="00711D2A"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46% (11/24)</w:t>
                  </w:r>
                </w:p>
              </w:tc>
              <w:tc>
                <w:tcPr>
                  <w:tcW w:w="1276" w:type="dxa"/>
                </w:tcPr>
                <w:p w14:paraId="55039298" w14:textId="3BE9E742" w:rsidR="00A82ADC" w:rsidRPr="00DA5FE8" w:rsidRDefault="00711D2A"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21% (5/24)</w:t>
                  </w:r>
                </w:p>
              </w:tc>
            </w:tr>
            <w:tr w:rsidR="00A82ADC" w:rsidRPr="00DA5FE8" w14:paraId="1B9CEFBB" w14:textId="77777777" w:rsidTr="00711D2A">
              <w:trPr>
                <w:trHeight w:val="215"/>
              </w:trPr>
              <w:tc>
                <w:tcPr>
                  <w:tcW w:w="1868" w:type="dxa"/>
                </w:tcPr>
                <w:p w14:paraId="1477EDDA" w14:textId="41682576"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Writing</w:t>
                  </w:r>
                </w:p>
              </w:tc>
              <w:tc>
                <w:tcPr>
                  <w:tcW w:w="1869" w:type="dxa"/>
                </w:tcPr>
                <w:p w14:paraId="57EC8BAD" w14:textId="5044D8CE" w:rsidR="00A82ADC" w:rsidRPr="00DA5FE8" w:rsidRDefault="001A7A49" w:rsidP="00A82ADC">
                  <w:pPr>
                    <w:suppressAutoHyphens w:val="0"/>
                    <w:autoSpaceDN/>
                    <w:spacing w:after="0"/>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75</w:t>
                  </w:r>
                  <w:r w:rsidR="00A82ADC" w:rsidRPr="00DA5FE8">
                    <w:rPr>
                      <w:rFonts w:asciiTheme="minorHAnsi" w:hAnsiTheme="minorHAnsi" w:cstheme="minorHAnsi"/>
                      <w:color w:val="auto"/>
                      <w:sz w:val="20"/>
                      <w:szCs w:val="20"/>
                      <w:lang w:eastAsia="en-US"/>
                    </w:rPr>
                    <w:t>% (18/24)</w:t>
                  </w:r>
                  <w:r w:rsidR="00D76881">
                    <w:rPr>
                      <w:rFonts w:asciiTheme="minorHAnsi" w:hAnsiTheme="minorHAnsi" w:cstheme="minorHAnsi"/>
                      <w:color w:val="auto"/>
                      <w:sz w:val="20"/>
                      <w:szCs w:val="20"/>
                      <w:lang w:eastAsia="en-US"/>
                    </w:rPr>
                    <w:t>*</w:t>
                  </w:r>
                </w:p>
              </w:tc>
              <w:tc>
                <w:tcPr>
                  <w:tcW w:w="1537" w:type="dxa"/>
                </w:tcPr>
                <w:p w14:paraId="7E22438F" w14:textId="4373C949" w:rsidR="00A82ADC" w:rsidRPr="00DA5FE8" w:rsidRDefault="00711D2A"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46% (11/24)</w:t>
                  </w:r>
                </w:p>
              </w:tc>
              <w:tc>
                <w:tcPr>
                  <w:tcW w:w="1276" w:type="dxa"/>
                </w:tcPr>
                <w:p w14:paraId="28B750A1" w14:textId="0B5582D0" w:rsidR="00A82ADC" w:rsidRPr="00DA5FE8" w:rsidRDefault="00711D2A"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21% (5/24)</w:t>
                  </w:r>
                </w:p>
              </w:tc>
            </w:tr>
            <w:tr w:rsidR="00A82ADC" w:rsidRPr="00DA5FE8" w14:paraId="7E2CA105" w14:textId="77777777" w:rsidTr="00711D2A">
              <w:trPr>
                <w:trHeight w:val="219"/>
              </w:trPr>
              <w:tc>
                <w:tcPr>
                  <w:tcW w:w="1868" w:type="dxa"/>
                </w:tcPr>
                <w:p w14:paraId="6EA59818" w14:textId="4A06A5FC"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Maths</w:t>
                  </w:r>
                </w:p>
              </w:tc>
              <w:tc>
                <w:tcPr>
                  <w:tcW w:w="1869" w:type="dxa"/>
                </w:tcPr>
                <w:p w14:paraId="61C8D5A4" w14:textId="67EAED1A" w:rsidR="00A82ADC" w:rsidRPr="00DA5FE8" w:rsidRDefault="00A82ADC"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67% (16/24)</w:t>
                  </w:r>
                  <w:r w:rsidR="00D76881">
                    <w:rPr>
                      <w:rFonts w:asciiTheme="minorHAnsi" w:hAnsiTheme="minorHAnsi" w:cstheme="minorHAnsi"/>
                      <w:color w:val="auto"/>
                      <w:sz w:val="20"/>
                      <w:szCs w:val="20"/>
                      <w:lang w:eastAsia="en-US"/>
                    </w:rPr>
                    <w:t>*</w:t>
                  </w:r>
                </w:p>
              </w:tc>
              <w:tc>
                <w:tcPr>
                  <w:tcW w:w="1537" w:type="dxa"/>
                </w:tcPr>
                <w:p w14:paraId="6BDBA840" w14:textId="2D2C4E62" w:rsidR="00A82ADC" w:rsidRPr="00DA5FE8" w:rsidRDefault="00711D2A"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46% (11/24)</w:t>
                  </w:r>
                </w:p>
              </w:tc>
              <w:tc>
                <w:tcPr>
                  <w:tcW w:w="1276" w:type="dxa"/>
                </w:tcPr>
                <w:p w14:paraId="70B8D768" w14:textId="7ED342CB" w:rsidR="00A82ADC" w:rsidRPr="00DA5FE8" w:rsidRDefault="00711D2A" w:rsidP="00A82ADC">
                  <w:pPr>
                    <w:suppressAutoHyphens w:val="0"/>
                    <w:autoSpaceDN/>
                    <w:spacing w:after="0"/>
                    <w:rPr>
                      <w:rFonts w:asciiTheme="minorHAnsi" w:hAnsiTheme="minorHAnsi" w:cstheme="minorHAnsi"/>
                      <w:color w:val="auto"/>
                      <w:sz w:val="20"/>
                      <w:szCs w:val="20"/>
                      <w:lang w:eastAsia="en-US"/>
                    </w:rPr>
                  </w:pPr>
                  <w:r w:rsidRPr="00DA5FE8">
                    <w:rPr>
                      <w:rFonts w:asciiTheme="minorHAnsi" w:hAnsiTheme="minorHAnsi" w:cstheme="minorHAnsi"/>
                      <w:color w:val="auto"/>
                      <w:sz w:val="20"/>
                      <w:szCs w:val="20"/>
                      <w:lang w:eastAsia="en-US"/>
                    </w:rPr>
                    <w:t>29% (7/24)</w:t>
                  </w:r>
                </w:p>
              </w:tc>
            </w:tr>
          </w:tbl>
          <w:p w14:paraId="47CF14BB" w14:textId="68518455" w:rsidR="00F31D1D" w:rsidRPr="00F735E9" w:rsidRDefault="00F735E9" w:rsidP="00F735E9">
            <w:pPr>
              <w:pStyle w:val="ListParagraph"/>
              <w:numPr>
                <w:ilvl w:val="0"/>
                <w:numId w:val="0"/>
              </w:numPr>
              <w:suppressAutoHyphens w:val="0"/>
              <w:autoSpaceDN/>
              <w:spacing w:before="120"/>
              <w:rPr>
                <w:rFonts w:asciiTheme="minorHAnsi" w:hAnsiTheme="minorHAnsi" w:cstheme="minorHAnsi"/>
                <w:color w:val="auto"/>
                <w:lang w:eastAsia="en-US"/>
              </w:rPr>
            </w:pPr>
            <w:r>
              <w:rPr>
                <w:rFonts w:asciiTheme="minorHAnsi" w:hAnsiTheme="minorHAnsi" w:cstheme="minorHAnsi"/>
                <w:color w:val="auto"/>
                <w:lang w:eastAsia="en-US"/>
              </w:rPr>
              <w:t>*</w:t>
            </w:r>
            <w:r w:rsidR="00D76881">
              <w:rPr>
                <w:rFonts w:asciiTheme="minorHAnsi" w:hAnsiTheme="minorHAnsi" w:cstheme="minorHAnsi"/>
                <w:color w:val="auto"/>
                <w:lang w:eastAsia="en-US"/>
              </w:rPr>
              <w:t xml:space="preserve">  3 </w:t>
            </w:r>
            <w:r>
              <w:rPr>
                <w:rFonts w:asciiTheme="minorHAnsi" w:hAnsiTheme="minorHAnsi" w:cstheme="minorHAnsi"/>
                <w:color w:val="auto"/>
                <w:lang w:eastAsia="en-US"/>
              </w:rPr>
              <w:t>pupils are also SEND</w:t>
            </w:r>
          </w:p>
          <w:p w14:paraId="73377F9A" w14:textId="255C359D" w:rsidR="00534899" w:rsidRPr="00DA5FE8" w:rsidRDefault="00081EDE" w:rsidP="00666217">
            <w:pPr>
              <w:suppressAutoHyphens w:val="0"/>
              <w:autoSpaceDN/>
              <w:spacing w:before="120"/>
              <w:rPr>
                <w:rFonts w:asciiTheme="minorHAnsi" w:hAnsiTheme="minorHAnsi" w:cstheme="minorHAnsi"/>
                <w:color w:val="auto"/>
                <w:lang w:eastAsia="en-US"/>
              </w:rPr>
            </w:pPr>
            <w:r w:rsidRPr="00DA5FE8">
              <w:rPr>
                <w:rFonts w:asciiTheme="minorHAnsi" w:hAnsiTheme="minorHAnsi" w:cstheme="minorHAnsi"/>
                <w:color w:val="auto"/>
                <w:lang w:eastAsia="en-US"/>
              </w:rPr>
              <w:t xml:space="preserve">As </w:t>
            </w:r>
            <w:r w:rsidR="006B477F" w:rsidRPr="00DA5FE8">
              <w:rPr>
                <w:rFonts w:asciiTheme="minorHAnsi" w:hAnsiTheme="minorHAnsi" w:cstheme="minorHAnsi"/>
                <w:color w:val="auto"/>
                <w:lang w:eastAsia="en-US"/>
              </w:rPr>
              <w:t>evidenced</w:t>
            </w:r>
            <w:r w:rsidRPr="00DA5FE8">
              <w:rPr>
                <w:rFonts w:asciiTheme="minorHAnsi" w:hAnsiTheme="minorHAnsi" w:cstheme="minorHAnsi"/>
                <w:color w:val="auto"/>
                <w:lang w:eastAsia="en-US"/>
              </w:rPr>
              <w:t xml:space="preserve"> </w:t>
            </w:r>
            <w:r w:rsidR="00BE5CA8" w:rsidRPr="00DA5FE8">
              <w:rPr>
                <w:rFonts w:asciiTheme="minorHAnsi" w:hAnsiTheme="minorHAnsi" w:cstheme="minorHAnsi"/>
                <w:color w:val="auto"/>
                <w:lang w:eastAsia="en-US"/>
              </w:rPr>
              <w:t xml:space="preserve">in schools </w:t>
            </w:r>
            <w:r w:rsidRPr="00DA5FE8">
              <w:rPr>
                <w:rFonts w:asciiTheme="minorHAnsi" w:hAnsiTheme="minorHAnsi" w:cstheme="minorHAnsi"/>
                <w:color w:val="auto"/>
                <w:lang w:eastAsia="en-US"/>
              </w:rPr>
              <w:t>across the country, s</w:t>
            </w:r>
            <w:r w:rsidR="00174105" w:rsidRPr="00DA5FE8">
              <w:rPr>
                <w:rFonts w:asciiTheme="minorHAnsi" w:hAnsiTheme="minorHAnsi" w:cstheme="minorHAnsi"/>
                <w:color w:val="auto"/>
                <w:lang w:eastAsia="en-US"/>
              </w:rPr>
              <w:t>chool closure</w:t>
            </w:r>
            <w:r w:rsidRPr="00DA5FE8">
              <w:rPr>
                <w:rFonts w:asciiTheme="minorHAnsi" w:hAnsiTheme="minorHAnsi" w:cstheme="minorHAnsi"/>
                <w:color w:val="auto"/>
                <w:lang w:eastAsia="en-US"/>
              </w:rPr>
              <w:t xml:space="preserve"> </w:t>
            </w:r>
            <w:r w:rsidR="00076244" w:rsidRPr="00DA5FE8">
              <w:rPr>
                <w:rFonts w:asciiTheme="minorHAnsi" w:hAnsiTheme="minorHAnsi" w:cstheme="minorHAnsi"/>
                <w:color w:val="auto"/>
                <w:lang w:eastAsia="en-US"/>
              </w:rPr>
              <w:t>w</w:t>
            </w:r>
            <w:r w:rsidR="006B477F" w:rsidRPr="00DA5FE8">
              <w:rPr>
                <w:rFonts w:asciiTheme="minorHAnsi" w:hAnsiTheme="minorHAnsi" w:cstheme="minorHAnsi"/>
                <w:color w:val="auto"/>
                <w:lang w:eastAsia="en-US"/>
              </w:rPr>
              <w:t>as</w:t>
            </w:r>
            <w:r w:rsidR="008F672B" w:rsidRPr="00DA5FE8">
              <w:rPr>
                <w:rFonts w:asciiTheme="minorHAnsi" w:hAnsiTheme="minorHAnsi" w:cstheme="minorHAnsi"/>
                <w:color w:val="auto"/>
                <w:lang w:eastAsia="en-US"/>
              </w:rPr>
              <w:t xml:space="preserve"> most detrimental </w:t>
            </w:r>
            <w:r w:rsidR="006B477F" w:rsidRPr="00DA5FE8">
              <w:rPr>
                <w:rFonts w:asciiTheme="minorHAnsi" w:hAnsiTheme="minorHAnsi" w:cstheme="minorHAnsi"/>
                <w:color w:val="auto"/>
                <w:lang w:eastAsia="en-US"/>
              </w:rPr>
              <w:t>to</w:t>
            </w:r>
            <w:r w:rsidR="008F672B" w:rsidRPr="00DA5FE8">
              <w:rPr>
                <w:rFonts w:asciiTheme="minorHAnsi" w:hAnsiTheme="minorHAnsi" w:cstheme="minorHAnsi"/>
                <w:color w:val="auto"/>
                <w:lang w:eastAsia="en-US"/>
              </w:rPr>
              <w:t xml:space="preserve"> </w:t>
            </w:r>
            <w:r w:rsidR="00BE5CA8" w:rsidRPr="00DA5FE8">
              <w:rPr>
                <w:rFonts w:asciiTheme="minorHAnsi" w:hAnsiTheme="minorHAnsi" w:cstheme="minorHAnsi"/>
                <w:color w:val="auto"/>
                <w:lang w:eastAsia="en-US"/>
              </w:rPr>
              <w:t xml:space="preserve">our </w:t>
            </w:r>
            <w:r w:rsidR="008F672B" w:rsidRPr="00DA5FE8">
              <w:rPr>
                <w:rFonts w:asciiTheme="minorHAnsi" w:hAnsiTheme="minorHAnsi" w:cstheme="minorHAnsi"/>
                <w:color w:val="auto"/>
                <w:lang w:eastAsia="en-US"/>
              </w:rPr>
              <w:t>disadvantaged pupils</w:t>
            </w:r>
            <w:r w:rsidR="00957196" w:rsidRPr="00DA5FE8">
              <w:rPr>
                <w:rFonts w:asciiTheme="minorHAnsi" w:hAnsiTheme="minorHAnsi" w:cstheme="minorHAnsi"/>
                <w:color w:val="auto"/>
                <w:lang w:eastAsia="en-US"/>
              </w:rPr>
              <w:t xml:space="preserve">, </w:t>
            </w:r>
            <w:r w:rsidR="00585D94" w:rsidRPr="00DA5FE8">
              <w:rPr>
                <w:rFonts w:asciiTheme="minorHAnsi" w:hAnsiTheme="minorHAnsi" w:cstheme="minorHAnsi"/>
                <w:color w:val="auto"/>
                <w:lang w:eastAsia="en-US"/>
              </w:rPr>
              <w:t>and they</w:t>
            </w:r>
            <w:r w:rsidR="00076244" w:rsidRPr="00DA5FE8">
              <w:rPr>
                <w:rFonts w:asciiTheme="minorHAnsi" w:hAnsiTheme="minorHAnsi" w:cstheme="minorHAnsi"/>
                <w:color w:val="auto"/>
                <w:lang w:eastAsia="en-US"/>
              </w:rPr>
              <w:t xml:space="preserve"> </w:t>
            </w:r>
            <w:r w:rsidR="009F4686" w:rsidRPr="00DA5FE8">
              <w:rPr>
                <w:rFonts w:asciiTheme="minorHAnsi" w:hAnsiTheme="minorHAnsi" w:cstheme="minorHAnsi"/>
                <w:color w:val="auto"/>
                <w:lang w:eastAsia="en-US"/>
              </w:rPr>
              <w:t>were not able to</w:t>
            </w:r>
            <w:r w:rsidR="00076244" w:rsidRPr="00DA5FE8">
              <w:rPr>
                <w:rFonts w:asciiTheme="minorHAnsi" w:hAnsiTheme="minorHAnsi" w:cstheme="minorHAnsi"/>
                <w:color w:val="auto"/>
                <w:lang w:eastAsia="en-US"/>
              </w:rPr>
              <w:t xml:space="preserve"> benefit from </w:t>
            </w:r>
            <w:r w:rsidR="0027107A" w:rsidRPr="00DA5FE8">
              <w:rPr>
                <w:rFonts w:asciiTheme="minorHAnsi" w:hAnsiTheme="minorHAnsi" w:cstheme="minorHAnsi"/>
                <w:color w:val="auto"/>
                <w:lang w:eastAsia="en-US"/>
              </w:rPr>
              <w:t>our</w:t>
            </w:r>
            <w:r w:rsidR="00BE5CA8" w:rsidRPr="00DA5FE8">
              <w:rPr>
                <w:rFonts w:asciiTheme="minorHAnsi" w:hAnsiTheme="minorHAnsi" w:cstheme="minorHAnsi"/>
                <w:color w:val="auto"/>
                <w:lang w:eastAsia="en-US"/>
              </w:rPr>
              <w:t xml:space="preserve"> </w:t>
            </w:r>
            <w:r w:rsidR="009F4686" w:rsidRPr="00DA5FE8">
              <w:rPr>
                <w:rFonts w:asciiTheme="minorHAnsi" w:hAnsiTheme="minorHAnsi" w:cstheme="minorHAnsi"/>
                <w:color w:val="auto"/>
                <w:lang w:eastAsia="en-US"/>
              </w:rPr>
              <w:t xml:space="preserve">pupil premium funded </w:t>
            </w:r>
            <w:r w:rsidR="008C4F85" w:rsidRPr="00DA5FE8">
              <w:rPr>
                <w:rFonts w:asciiTheme="minorHAnsi" w:hAnsiTheme="minorHAnsi" w:cstheme="minorHAnsi"/>
                <w:color w:val="auto"/>
                <w:lang w:eastAsia="en-US"/>
              </w:rPr>
              <w:t>improvements to teaching</w:t>
            </w:r>
            <w:r w:rsidR="009F4686" w:rsidRPr="00DA5FE8">
              <w:rPr>
                <w:rFonts w:asciiTheme="minorHAnsi" w:hAnsiTheme="minorHAnsi" w:cstheme="minorHAnsi"/>
                <w:color w:val="auto"/>
                <w:lang w:eastAsia="en-US"/>
              </w:rPr>
              <w:t xml:space="preserve"> </w:t>
            </w:r>
            <w:r w:rsidR="008C4F85" w:rsidRPr="00DA5FE8">
              <w:rPr>
                <w:rFonts w:asciiTheme="minorHAnsi" w:hAnsiTheme="minorHAnsi" w:cstheme="minorHAnsi"/>
                <w:color w:val="auto"/>
                <w:lang w:eastAsia="en-US"/>
              </w:rPr>
              <w:t xml:space="preserve">and targeted interventions to the degree we </w:t>
            </w:r>
            <w:r w:rsidR="005A1E7D" w:rsidRPr="00DA5FE8">
              <w:rPr>
                <w:rFonts w:asciiTheme="minorHAnsi" w:hAnsiTheme="minorHAnsi" w:cstheme="minorHAnsi"/>
                <w:color w:val="auto"/>
                <w:lang w:eastAsia="en-US"/>
              </w:rPr>
              <w:t xml:space="preserve">had </w:t>
            </w:r>
            <w:r w:rsidR="008C4F85" w:rsidRPr="00DA5FE8">
              <w:rPr>
                <w:rFonts w:asciiTheme="minorHAnsi" w:hAnsiTheme="minorHAnsi" w:cstheme="minorHAnsi"/>
                <w:color w:val="auto"/>
                <w:lang w:eastAsia="en-US"/>
              </w:rPr>
              <w:t>intended</w:t>
            </w:r>
            <w:r w:rsidR="0027107A" w:rsidRPr="00DA5FE8">
              <w:rPr>
                <w:rFonts w:asciiTheme="minorHAnsi" w:hAnsiTheme="minorHAnsi" w:cstheme="minorHAnsi"/>
                <w:color w:val="auto"/>
                <w:lang w:eastAsia="en-US"/>
              </w:rPr>
              <w:t xml:space="preserve">. </w:t>
            </w:r>
            <w:r w:rsidR="00666217" w:rsidRPr="00DA5FE8">
              <w:rPr>
                <w:rFonts w:asciiTheme="minorHAnsi" w:hAnsiTheme="minorHAnsi" w:cstheme="minorHAnsi"/>
                <w:color w:val="auto"/>
                <w:lang w:eastAsia="en-US"/>
              </w:rPr>
              <w:t xml:space="preserve"> Places were offered to all pupil premium children during lockdown periods and ICT equipment was loaned as needed.</w:t>
            </w:r>
          </w:p>
          <w:p w14:paraId="2ADFF7DF" w14:textId="6C9F745D" w:rsidR="00220984" w:rsidRPr="007F2732" w:rsidRDefault="00E42E97" w:rsidP="0095633E">
            <w:pPr>
              <w:suppressAutoHyphens w:val="0"/>
              <w:autoSpaceDN/>
              <w:spacing w:after="120"/>
              <w:rPr>
                <w:rFonts w:asciiTheme="minorHAnsi" w:hAnsiTheme="minorHAnsi" w:cstheme="minorHAnsi"/>
                <w:color w:val="auto"/>
                <w:lang w:eastAsia="en-US"/>
              </w:rPr>
            </w:pPr>
            <w:r w:rsidRPr="00DA5FE8">
              <w:rPr>
                <w:rFonts w:asciiTheme="minorHAnsi" w:hAnsiTheme="minorHAnsi" w:cstheme="minorHAnsi"/>
                <w:color w:val="auto"/>
                <w:lang w:eastAsia="en-US"/>
              </w:rPr>
              <w:t xml:space="preserve">Our assessments </w:t>
            </w:r>
            <w:r w:rsidR="006A7EBF" w:rsidRPr="00DA5FE8">
              <w:rPr>
                <w:rFonts w:asciiTheme="minorHAnsi" w:hAnsiTheme="minorHAnsi" w:cstheme="minorHAnsi"/>
                <w:color w:val="auto"/>
                <w:lang w:eastAsia="en-US"/>
              </w:rPr>
              <w:t xml:space="preserve">and observations </w:t>
            </w:r>
            <w:r w:rsidR="009D34FB" w:rsidRPr="00DA5FE8">
              <w:rPr>
                <w:rFonts w:asciiTheme="minorHAnsi" w:hAnsiTheme="minorHAnsi" w:cstheme="minorHAnsi"/>
                <w:color w:val="auto"/>
                <w:lang w:eastAsia="en-US"/>
              </w:rPr>
              <w:t>indicated</w:t>
            </w:r>
            <w:r w:rsidRPr="00DA5FE8">
              <w:rPr>
                <w:rFonts w:asciiTheme="minorHAnsi" w:hAnsiTheme="minorHAnsi" w:cstheme="minorHAnsi"/>
                <w:color w:val="auto"/>
                <w:lang w:eastAsia="en-US"/>
              </w:rPr>
              <w:t xml:space="preserve"> that p</w:t>
            </w:r>
            <w:r w:rsidR="006D6CEA" w:rsidRPr="00DA5FE8">
              <w:rPr>
                <w:rFonts w:asciiTheme="minorHAnsi" w:hAnsiTheme="minorHAnsi" w:cstheme="minorHAnsi"/>
                <w:color w:val="auto"/>
                <w:lang w:eastAsia="en-US"/>
              </w:rPr>
              <w:t>upil</w:t>
            </w:r>
            <w:r w:rsidR="00602E97" w:rsidRPr="00DA5FE8">
              <w:rPr>
                <w:rFonts w:asciiTheme="minorHAnsi" w:hAnsiTheme="minorHAnsi" w:cstheme="minorHAnsi"/>
                <w:color w:val="auto"/>
                <w:lang w:eastAsia="en-US"/>
              </w:rPr>
              <w:t xml:space="preserve"> b</w:t>
            </w:r>
            <w:r w:rsidR="000B45BD" w:rsidRPr="00DA5FE8">
              <w:rPr>
                <w:rFonts w:asciiTheme="minorHAnsi" w:hAnsiTheme="minorHAnsi" w:cstheme="minorHAnsi"/>
                <w:color w:val="auto"/>
                <w:lang w:eastAsia="en-US"/>
              </w:rPr>
              <w:t>ehaviour, w</w:t>
            </w:r>
            <w:r w:rsidR="003964FD" w:rsidRPr="00DA5FE8">
              <w:rPr>
                <w:rFonts w:asciiTheme="minorHAnsi" w:hAnsiTheme="minorHAnsi" w:cstheme="minorHAnsi"/>
                <w:color w:val="auto"/>
                <w:lang w:eastAsia="en-US"/>
              </w:rPr>
              <w:t>ellbeing</w:t>
            </w:r>
            <w:r w:rsidR="000B45BD" w:rsidRPr="00DA5FE8">
              <w:rPr>
                <w:rFonts w:asciiTheme="minorHAnsi" w:hAnsiTheme="minorHAnsi" w:cstheme="minorHAnsi"/>
                <w:color w:val="auto"/>
                <w:lang w:eastAsia="en-US"/>
              </w:rPr>
              <w:t xml:space="preserve"> and mental health</w:t>
            </w:r>
            <w:r w:rsidR="00602E97" w:rsidRPr="00DA5FE8">
              <w:rPr>
                <w:rFonts w:asciiTheme="minorHAnsi" w:hAnsiTheme="minorHAnsi" w:cstheme="minorHAnsi"/>
                <w:color w:val="auto"/>
                <w:lang w:eastAsia="en-US"/>
              </w:rPr>
              <w:t xml:space="preserve"> </w:t>
            </w:r>
            <w:r w:rsidR="006D6CEA" w:rsidRPr="00DA5FE8">
              <w:rPr>
                <w:rFonts w:asciiTheme="minorHAnsi" w:hAnsiTheme="minorHAnsi" w:cstheme="minorHAnsi"/>
                <w:color w:val="auto"/>
                <w:lang w:eastAsia="en-US"/>
              </w:rPr>
              <w:t xml:space="preserve">were </w:t>
            </w:r>
            <w:r w:rsidR="00541D37" w:rsidRPr="00DA5FE8">
              <w:rPr>
                <w:rFonts w:asciiTheme="minorHAnsi" w:hAnsiTheme="minorHAnsi" w:cstheme="minorHAnsi"/>
                <w:color w:val="auto"/>
                <w:lang w:eastAsia="en-US"/>
              </w:rPr>
              <w:t>significantly</w:t>
            </w:r>
            <w:r w:rsidR="006D6CEA" w:rsidRPr="00DA5FE8">
              <w:rPr>
                <w:rFonts w:asciiTheme="minorHAnsi" w:hAnsiTheme="minorHAnsi" w:cstheme="minorHAnsi"/>
                <w:color w:val="auto"/>
                <w:lang w:eastAsia="en-US"/>
              </w:rPr>
              <w:t xml:space="preserve"> </w:t>
            </w:r>
            <w:r w:rsidRPr="00DA5FE8">
              <w:rPr>
                <w:rFonts w:asciiTheme="minorHAnsi" w:hAnsiTheme="minorHAnsi" w:cstheme="minorHAnsi"/>
                <w:color w:val="auto"/>
                <w:lang w:eastAsia="en-US"/>
              </w:rPr>
              <w:t xml:space="preserve">impacted last year, </w:t>
            </w:r>
            <w:r w:rsidR="00B25DD6" w:rsidRPr="00DA5FE8">
              <w:rPr>
                <w:rFonts w:asciiTheme="minorHAnsi" w:hAnsiTheme="minorHAnsi" w:cstheme="minorHAnsi"/>
                <w:color w:val="auto"/>
                <w:lang w:eastAsia="en-US"/>
              </w:rPr>
              <w:t>primarily due to COVID-19</w:t>
            </w:r>
            <w:r w:rsidR="001D1AD6" w:rsidRPr="00DA5FE8">
              <w:rPr>
                <w:rFonts w:asciiTheme="minorHAnsi" w:hAnsiTheme="minorHAnsi" w:cstheme="minorHAnsi"/>
                <w:color w:val="auto"/>
                <w:lang w:eastAsia="en-US"/>
              </w:rPr>
              <w:t>-related issues</w:t>
            </w:r>
            <w:r w:rsidR="00B25DD6" w:rsidRPr="00DA5FE8">
              <w:rPr>
                <w:rFonts w:asciiTheme="minorHAnsi" w:hAnsiTheme="minorHAnsi" w:cstheme="minorHAnsi"/>
                <w:color w:val="auto"/>
                <w:lang w:eastAsia="en-US"/>
              </w:rPr>
              <w:t xml:space="preserve">. </w:t>
            </w:r>
            <w:r w:rsidR="001D1772" w:rsidRPr="00DA5FE8">
              <w:rPr>
                <w:rFonts w:asciiTheme="minorHAnsi" w:hAnsiTheme="minorHAnsi" w:cstheme="minorHAnsi"/>
                <w:color w:val="auto"/>
                <w:lang w:eastAsia="en-US"/>
              </w:rPr>
              <w:t xml:space="preserve">The impact was particularly acute for </w:t>
            </w:r>
            <w:r w:rsidR="000A6352">
              <w:rPr>
                <w:rFonts w:asciiTheme="minorHAnsi" w:hAnsiTheme="minorHAnsi" w:cstheme="minorHAnsi"/>
                <w:color w:val="auto"/>
                <w:lang w:eastAsia="en-US"/>
              </w:rPr>
              <w:t xml:space="preserve">some </w:t>
            </w:r>
            <w:r w:rsidR="001D1772" w:rsidRPr="00DA5FE8">
              <w:rPr>
                <w:rFonts w:asciiTheme="minorHAnsi" w:hAnsiTheme="minorHAnsi" w:cstheme="minorHAnsi"/>
                <w:color w:val="auto"/>
                <w:lang w:eastAsia="en-US"/>
              </w:rPr>
              <w:t xml:space="preserve">disadvantaged pupils. </w:t>
            </w:r>
            <w:r w:rsidR="00B25DD6" w:rsidRPr="00DA5FE8">
              <w:rPr>
                <w:rFonts w:asciiTheme="minorHAnsi" w:hAnsiTheme="minorHAnsi" w:cstheme="minorHAnsi"/>
                <w:color w:val="auto"/>
                <w:lang w:eastAsia="en-US"/>
              </w:rPr>
              <w:t xml:space="preserve">We </w:t>
            </w:r>
            <w:r w:rsidR="00D27F6E" w:rsidRPr="00DA5FE8">
              <w:rPr>
                <w:rFonts w:asciiTheme="minorHAnsi" w:hAnsiTheme="minorHAnsi" w:cstheme="minorHAnsi"/>
                <w:color w:val="auto"/>
                <w:lang w:eastAsia="en-US"/>
              </w:rPr>
              <w:t>used pupil premium funding to</w:t>
            </w:r>
            <w:r w:rsidR="005A2DEF" w:rsidRPr="00DA5FE8">
              <w:rPr>
                <w:rFonts w:asciiTheme="minorHAnsi" w:hAnsiTheme="minorHAnsi" w:cstheme="minorHAnsi"/>
                <w:color w:val="auto"/>
                <w:lang w:eastAsia="en-US"/>
              </w:rPr>
              <w:t xml:space="preserve"> provide </w:t>
            </w:r>
            <w:r w:rsidR="00555245" w:rsidRPr="00DA5FE8">
              <w:rPr>
                <w:rFonts w:asciiTheme="minorHAnsi" w:hAnsiTheme="minorHAnsi" w:cstheme="minorHAnsi"/>
                <w:color w:val="auto"/>
                <w:lang w:eastAsia="en-US"/>
              </w:rPr>
              <w:t xml:space="preserve">wellbeing </w:t>
            </w:r>
            <w:r w:rsidR="005A2DEF" w:rsidRPr="00DA5FE8">
              <w:rPr>
                <w:rFonts w:asciiTheme="minorHAnsi" w:hAnsiTheme="minorHAnsi" w:cstheme="minorHAnsi"/>
                <w:color w:val="auto"/>
                <w:lang w:eastAsia="en-US"/>
              </w:rPr>
              <w:t>support</w:t>
            </w:r>
            <w:r w:rsidR="00D27F6E" w:rsidRPr="00DA5FE8">
              <w:rPr>
                <w:rFonts w:asciiTheme="minorHAnsi" w:hAnsiTheme="minorHAnsi" w:cstheme="minorHAnsi"/>
                <w:color w:val="auto"/>
                <w:lang w:eastAsia="en-US"/>
              </w:rPr>
              <w:t xml:space="preserve"> </w:t>
            </w:r>
            <w:r w:rsidR="005A2DEF" w:rsidRPr="00DA5FE8">
              <w:rPr>
                <w:rFonts w:asciiTheme="minorHAnsi" w:hAnsiTheme="minorHAnsi" w:cstheme="minorHAnsi"/>
                <w:color w:val="auto"/>
                <w:lang w:eastAsia="en-US"/>
              </w:rPr>
              <w:t xml:space="preserve">for </w:t>
            </w:r>
            <w:r w:rsidR="00D27F6E" w:rsidRPr="00DA5FE8">
              <w:rPr>
                <w:rFonts w:asciiTheme="minorHAnsi" w:hAnsiTheme="minorHAnsi" w:cstheme="minorHAnsi"/>
                <w:color w:val="auto"/>
                <w:lang w:eastAsia="en-US"/>
              </w:rPr>
              <w:t>all pupils</w:t>
            </w:r>
            <w:r w:rsidR="00023D9A" w:rsidRPr="00DA5FE8">
              <w:rPr>
                <w:rFonts w:asciiTheme="minorHAnsi" w:hAnsiTheme="minorHAnsi" w:cstheme="minorHAnsi"/>
                <w:color w:val="auto"/>
                <w:lang w:eastAsia="en-US"/>
              </w:rPr>
              <w:t xml:space="preserve">, and targeted interventions </w:t>
            </w:r>
            <w:r w:rsidR="00555245" w:rsidRPr="00DA5FE8">
              <w:rPr>
                <w:rFonts w:asciiTheme="minorHAnsi" w:hAnsiTheme="minorHAnsi" w:cstheme="minorHAnsi"/>
                <w:color w:val="auto"/>
                <w:lang w:eastAsia="en-US"/>
              </w:rPr>
              <w:t xml:space="preserve">where </w:t>
            </w:r>
            <w:r w:rsidR="00564AEB" w:rsidRPr="00DA5FE8">
              <w:rPr>
                <w:rFonts w:asciiTheme="minorHAnsi" w:hAnsiTheme="minorHAnsi" w:cstheme="minorHAnsi"/>
                <w:color w:val="auto"/>
                <w:lang w:eastAsia="en-US"/>
              </w:rPr>
              <w:t>required</w:t>
            </w:r>
            <w:r w:rsidR="00023D9A" w:rsidRPr="00DA5FE8">
              <w:rPr>
                <w:rFonts w:asciiTheme="minorHAnsi" w:hAnsiTheme="minorHAnsi" w:cstheme="minorHAnsi"/>
                <w:color w:val="auto"/>
                <w:lang w:eastAsia="en-US"/>
              </w:rPr>
              <w:t xml:space="preserve">. We are </w:t>
            </w:r>
            <w:r w:rsidR="00023D9A" w:rsidRPr="007F2732">
              <w:rPr>
                <w:rFonts w:asciiTheme="minorHAnsi" w:hAnsiTheme="minorHAnsi" w:cstheme="minorHAnsi"/>
                <w:color w:val="auto"/>
                <w:lang w:eastAsia="en-US"/>
              </w:rPr>
              <w:t xml:space="preserve">building on </w:t>
            </w:r>
            <w:r w:rsidR="000A6352" w:rsidRPr="007F2732">
              <w:rPr>
                <w:rFonts w:asciiTheme="minorHAnsi" w:hAnsiTheme="minorHAnsi" w:cstheme="minorHAnsi"/>
                <w:color w:val="auto"/>
                <w:lang w:eastAsia="en-US"/>
              </w:rPr>
              <w:t xml:space="preserve">this </w:t>
            </w:r>
            <w:r w:rsidR="00564AEB" w:rsidRPr="007F2732">
              <w:rPr>
                <w:rFonts w:asciiTheme="minorHAnsi" w:hAnsiTheme="minorHAnsi" w:cstheme="minorHAnsi"/>
                <w:color w:val="auto"/>
                <w:lang w:eastAsia="en-US"/>
              </w:rPr>
              <w:t>approach</w:t>
            </w:r>
            <w:r w:rsidR="00335703" w:rsidRPr="007F2732">
              <w:rPr>
                <w:rFonts w:asciiTheme="minorHAnsi" w:hAnsiTheme="minorHAnsi" w:cstheme="minorHAnsi"/>
                <w:color w:val="auto"/>
                <w:lang w:eastAsia="en-US"/>
              </w:rPr>
              <w:t xml:space="preserve"> </w:t>
            </w:r>
            <w:r w:rsidR="00EE7D66" w:rsidRPr="007F2732">
              <w:rPr>
                <w:rFonts w:asciiTheme="minorHAnsi" w:hAnsiTheme="minorHAnsi" w:cstheme="minorHAnsi"/>
                <w:color w:val="auto"/>
                <w:lang w:eastAsia="en-US"/>
              </w:rPr>
              <w:t xml:space="preserve">with the activities detailed </w:t>
            </w:r>
            <w:r w:rsidR="00335703" w:rsidRPr="007F2732">
              <w:rPr>
                <w:rFonts w:asciiTheme="minorHAnsi" w:hAnsiTheme="minorHAnsi" w:cstheme="minorHAnsi"/>
                <w:color w:val="auto"/>
                <w:lang w:eastAsia="en-US"/>
              </w:rPr>
              <w:t xml:space="preserve">in </w:t>
            </w:r>
            <w:r w:rsidR="000A6352" w:rsidRPr="007F2732">
              <w:rPr>
                <w:rFonts w:asciiTheme="minorHAnsi" w:hAnsiTheme="minorHAnsi" w:cstheme="minorHAnsi"/>
                <w:color w:val="auto"/>
                <w:lang w:eastAsia="en-US"/>
              </w:rPr>
              <w:t>this year’s</w:t>
            </w:r>
            <w:r w:rsidR="00F735E9" w:rsidRPr="007F2732">
              <w:rPr>
                <w:rFonts w:asciiTheme="minorHAnsi" w:hAnsiTheme="minorHAnsi" w:cstheme="minorHAnsi"/>
                <w:color w:val="auto"/>
                <w:lang w:eastAsia="en-US"/>
              </w:rPr>
              <w:t xml:space="preserve"> plan.</w:t>
            </w:r>
          </w:p>
          <w:p w14:paraId="2A7D5546" w14:textId="71FF0B4B" w:rsidR="001A7A49" w:rsidRPr="00220984" w:rsidRDefault="001A7A49" w:rsidP="0095633E">
            <w:pPr>
              <w:suppressAutoHyphens w:val="0"/>
              <w:autoSpaceDN/>
              <w:spacing w:after="120"/>
              <w:rPr>
                <w:color w:val="0070C0"/>
                <w:lang w:eastAsia="en-US"/>
              </w:rPr>
            </w:pPr>
            <w:r w:rsidRPr="007F2732">
              <w:rPr>
                <w:rFonts w:asciiTheme="minorHAnsi" w:hAnsiTheme="minorHAnsi" w:cstheme="minorHAnsi"/>
                <w:color w:val="auto"/>
                <w:lang w:eastAsia="en-US"/>
              </w:rPr>
              <w:t>Attendance – attendance for all pupils was 94.6%</w:t>
            </w:r>
            <w:r w:rsidR="00F735E9" w:rsidRPr="007F2732">
              <w:rPr>
                <w:rFonts w:asciiTheme="minorHAnsi" w:hAnsiTheme="minorHAnsi" w:cstheme="minorHAnsi"/>
                <w:color w:val="auto"/>
                <w:lang w:eastAsia="en-US"/>
              </w:rPr>
              <w:t xml:space="preserve">. </w:t>
            </w:r>
            <w:r w:rsidR="007F2732">
              <w:rPr>
                <w:rFonts w:asciiTheme="minorHAnsi" w:hAnsiTheme="minorHAnsi" w:cstheme="minorHAnsi"/>
                <w:color w:val="auto"/>
                <w:lang w:eastAsia="en-US"/>
              </w:rPr>
              <w:t xml:space="preserve"> </w:t>
            </w:r>
            <w:r w:rsidR="00F735E9" w:rsidRPr="007F2732">
              <w:rPr>
                <w:rFonts w:asciiTheme="minorHAnsi" w:hAnsiTheme="minorHAnsi" w:cstheme="minorHAnsi"/>
                <w:color w:val="auto"/>
                <w:lang w:eastAsia="en-US"/>
              </w:rPr>
              <w:t>Attendance for Pupil Premium</w:t>
            </w:r>
            <w:r w:rsidR="007F2732" w:rsidRPr="007F2732">
              <w:rPr>
                <w:rFonts w:asciiTheme="minorHAnsi" w:hAnsiTheme="minorHAnsi" w:cstheme="minorHAnsi"/>
                <w:color w:val="auto"/>
                <w:lang w:eastAsia="en-US"/>
              </w:rPr>
              <w:t xml:space="preserve"> 91</w:t>
            </w:r>
            <w:r w:rsidR="000A6352" w:rsidRPr="007F2732">
              <w:rPr>
                <w:rFonts w:asciiTheme="minorHAnsi" w:hAnsiTheme="minorHAnsi" w:cstheme="minorHAnsi"/>
                <w:color w:val="auto"/>
                <w:lang w:eastAsia="en-US"/>
              </w:rPr>
              <w:t>%</w:t>
            </w:r>
          </w:p>
        </w:tc>
      </w:tr>
    </w:tbl>
    <w:p w14:paraId="2A7D555F" w14:textId="77777777" w:rsidR="00E66558" w:rsidRDefault="00E66558" w:rsidP="001A6C62">
      <w:pPr>
        <w:pStyle w:val="Heading2"/>
        <w:spacing w:before="600"/>
      </w:pPr>
      <w:bookmarkStart w:id="17" w:name="_GoBack"/>
      <w:bookmarkEnd w:id="14"/>
      <w:bookmarkEnd w:id="15"/>
      <w:bookmarkEnd w:id="16"/>
      <w:bookmarkEnd w:id="17"/>
    </w:p>
    <w:sectPr w:rsidR="00E66558" w:rsidSect="006F15BF">
      <w:headerReference w:type="default" r:id="rId15"/>
      <w:footerReference w:type="default" r:id="rId16"/>
      <w:pgSz w:w="16838" w:h="11906" w:orient="landscape"/>
      <w:pgMar w:top="1134" w:right="1134" w:bottom="993"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5234B" w14:textId="77777777" w:rsidR="008E6273" w:rsidRDefault="008E6273">
      <w:pPr>
        <w:spacing w:after="0" w:line="240" w:lineRule="auto"/>
      </w:pPr>
      <w:r>
        <w:separator/>
      </w:r>
    </w:p>
  </w:endnote>
  <w:endnote w:type="continuationSeparator" w:id="0">
    <w:p w14:paraId="028288E1" w14:textId="77777777" w:rsidR="008E6273" w:rsidRDefault="008E6273">
      <w:pPr>
        <w:spacing w:after="0" w:line="240" w:lineRule="auto"/>
      </w:pPr>
      <w:r>
        <w:continuationSeparator/>
      </w:r>
    </w:p>
  </w:endnote>
  <w:endnote w:type="continuationNotice" w:id="1">
    <w:p w14:paraId="2B7410C8" w14:textId="77777777" w:rsidR="008E6273" w:rsidRDefault="008E6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C8451AF" w:rsidR="003529D4" w:rsidRDefault="009D71E8">
    <w:pPr>
      <w:pStyle w:val="Footer"/>
      <w:ind w:firstLine="4513"/>
    </w:pPr>
    <w:r>
      <w:fldChar w:fldCharType="begin"/>
    </w:r>
    <w:r>
      <w:instrText xml:space="preserve"> PAGE </w:instrText>
    </w:r>
    <w:r>
      <w:fldChar w:fldCharType="separate"/>
    </w:r>
    <w:r w:rsidR="001A6C6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C159B" w14:textId="77777777" w:rsidR="008E6273" w:rsidRDefault="008E6273">
      <w:pPr>
        <w:spacing w:after="0" w:line="240" w:lineRule="auto"/>
      </w:pPr>
      <w:r>
        <w:separator/>
      </w:r>
    </w:p>
  </w:footnote>
  <w:footnote w:type="continuationSeparator" w:id="0">
    <w:p w14:paraId="4F9D69C7" w14:textId="77777777" w:rsidR="008E6273" w:rsidRDefault="008E6273">
      <w:pPr>
        <w:spacing w:after="0" w:line="240" w:lineRule="auto"/>
      </w:pPr>
      <w:r>
        <w:continuationSeparator/>
      </w:r>
    </w:p>
  </w:footnote>
  <w:footnote w:type="continuationNotice" w:id="1">
    <w:p w14:paraId="6178A87E" w14:textId="77777777" w:rsidR="008E6273" w:rsidRDefault="008E627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85F"/>
    <w:multiLevelType w:val="hybridMultilevel"/>
    <w:tmpl w:val="E06E6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627E"/>
    <w:multiLevelType w:val="hybridMultilevel"/>
    <w:tmpl w:val="9C50504E"/>
    <w:lvl w:ilvl="0" w:tplc="08090001">
      <w:start w:val="1"/>
      <w:numFmt w:val="bullet"/>
      <w:lvlText w:val=""/>
      <w:lvlJc w:val="left"/>
      <w:pPr>
        <w:ind w:left="360" w:hanging="360"/>
      </w:pPr>
      <w:rPr>
        <w:rFonts w:ascii="Symbol" w:hAnsi="Symbol" w:hint="default"/>
      </w:rPr>
    </w:lvl>
    <w:lvl w:ilvl="1" w:tplc="166C8BEE">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45C75CE"/>
    <w:multiLevelType w:val="multilevel"/>
    <w:tmpl w:val="86CE26A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5" w15:restartNumberingAfterBreak="0">
    <w:nsid w:val="663A7A1E"/>
    <w:multiLevelType w:val="multilevel"/>
    <w:tmpl w:val="66903A4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1E0A57"/>
    <w:multiLevelType w:val="multilevel"/>
    <w:tmpl w:val="DB8635D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4"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5"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9"/>
  </w:num>
  <w:num w:numId="2">
    <w:abstractNumId w:val="7"/>
  </w:num>
  <w:num w:numId="3">
    <w:abstractNumId w:val="10"/>
  </w:num>
  <w:num w:numId="4">
    <w:abstractNumId w:val="11"/>
  </w:num>
  <w:num w:numId="5">
    <w:abstractNumId w:val="4"/>
  </w:num>
  <w:num w:numId="6">
    <w:abstractNumId w:val="19"/>
  </w:num>
  <w:num w:numId="7">
    <w:abstractNumId w:val="26"/>
  </w:num>
  <w:num w:numId="8">
    <w:abstractNumId w:val="31"/>
  </w:num>
  <w:num w:numId="9">
    <w:abstractNumId w:val="29"/>
  </w:num>
  <w:num w:numId="10">
    <w:abstractNumId w:val="27"/>
  </w:num>
  <w:num w:numId="11">
    <w:abstractNumId w:val="8"/>
  </w:num>
  <w:num w:numId="12">
    <w:abstractNumId w:val="30"/>
  </w:num>
  <w:num w:numId="13">
    <w:abstractNumId w:val="23"/>
  </w:num>
  <w:num w:numId="14">
    <w:abstractNumId w:val="13"/>
  </w:num>
  <w:num w:numId="15">
    <w:abstractNumId w:val="22"/>
  </w:num>
  <w:num w:numId="16">
    <w:abstractNumId w:val="35"/>
  </w:num>
  <w:num w:numId="17">
    <w:abstractNumId w:val="14"/>
  </w:num>
  <w:num w:numId="18">
    <w:abstractNumId w:val="17"/>
  </w:num>
  <w:num w:numId="19">
    <w:abstractNumId w:val="1"/>
  </w:num>
  <w:num w:numId="20">
    <w:abstractNumId w:val="21"/>
  </w:num>
  <w:num w:numId="21">
    <w:abstractNumId w:val="2"/>
  </w:num>
  <w:num w:numId="22">
    <w:abstractNumId w:val="18"/>
  </w:num>
  <w:num w:numId="23">
    <w:abstractNumId w:val="34"/>
  </w:num>
  <w:num w:numId="24">
    <w:abstractNumId w:val="28"/>
  </w:num>
  <w:num w:numId="25">
    <w:abstractNumId w:val="5"/>
  </w:num>
  <w:num w:numId="26">
    <w:abstractNumId w:val="15"/>
  </w:num>
  <w:num w:numId="27">
    <w:abstractNumId w:val="20"/>
  </w:num>
  <w:num w:numId="28">
    <w:abstractNumId w:val="24"/>
  </w:num>
  <w:num w:numId="29">
    <w:abstractNumId w:val="33"/>
  </w:num>
  <w:num w:numId="30">
    <w:abstractNumId w:val="6"/>
  </w:num>
  <w:num w:numId="31">
    <w:abstractNumId w:val="16"/>
  </w:num>
  <w:num w:numId="32">
    <w:abstractNumId w:val="32"/>
  </w:num>
  <w:num w:numId="33">
    <w:abstractNumId w:val="12"/>
  </w:num>
  <w:num w:numId="34">
    <w:abstractNumId w:val="25"/>
  </w:num>
  <w:num w:numId="35">
    <w:abstractNumId w:val="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6988"/>
    <w:rsid w:val="00037B50"/>
    <w:rsid w:val="0004039A"/>
    <w:rsid w:val="00040F0E"/>
    <w:rsid w:val="00042467"/>
    <w:rsid w:val="0004329A"/>
    <w:rsid w:val="00043B45"/>
    <w:rsid w:val="00044E7C"/>
    <w:rsid w:val="0004557E"/>
    <w:rsid w:val="00046EBA"/>
    <w:rsid w:val="0004715F"/>
    <w:rsid w:val="00047D6A"/>
    <w:rsid w:val="00047FBF"/>
    <w:rsid w:val="00050713"/>
    <w:rsid w:val="00050FB8"/>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35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3430"/>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6F36"/>
    <w:rsid w:val="0019782E"/>
    <w:rsid w:val="00197B51"/>
    <w:rsid w:val="001A034C"/>
    <w:rsid w:val="001A12B9"/>
    <w:rsid w:val="001A1872"/>
    <w:rsid w:val="001A25A3"/>
    <w:rsid w:val="001A2889"/>
    <w:rsid w:val="001A2DCD"/>
    <w:rsid w:val="001A35D1"/>
    <w:rsid w:val="001A4D83"/>
    <w:rsid w:val="001A6031"/>
    <w:rsid w:val="001A62E6"/>
    <w:rsid w:val="001A6B3D"/>
    <w:rsid w:val="001A6C62"/>
    <w:rsid w:val="001A7A49"/>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57C0"/>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49F4"/>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6C3B"/>
    <w:rsid w:val="002278D9"/>
    <w:rsid w:val="00227BBA"/>
    <w:rsid w:val="0023034C"/>
    <w:rsid w:val="002310EB"/>
    <w:rsid w:val="00231624"/>
    <w:rsid w:val="00231E6D"/>
    <w:rsid w:val="0023293D"/>
    <w:rsid w:val="00232EF2"/>
    <w:rsid w:val="00234191"/>
    <w:rsid w:val="00234CD5"/>
    <w:rsid w:val="00234EF6"/>
    <w:rsid w:val="00235004"/>
    <w:rsid w:val="00235412"/>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97EB8"/>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57C"/>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325"/>
    <w:rsid w:val="00307EFF"/>
    <w:rsid w:val="003113EC"/>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4908"/>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C779C"/>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65FA"/>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6C6"/>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2FAB"/>
    <w:rsid w:val="005038C7"/>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811"/>
    <w:rsid w:val="00521A43"/>
    <w:rsid w:val="005221CC"/>
    <w:rsid w:val="00522D77"/>
    <w:rsid w:val="00523239"/>
    <w:rsid w:val="0052358C"/>
    <w:rsid w:val="00524178"/>
    <w:rsid w:val="00524C21"/>
    <w:rsid w:val="005254B0"/>
    <w:rsid w:val="00525EE1"/>
    <w:rsid w:val="00526A6A"/>
    <w:rsid w:val="005301AD"/>
    <w:rsid w:val="00530892"/>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D98"/>
    <w:rsid w:val="005858B2"/>
    <w:rsid w:val="00585B33"/>
    <w:rsid w:val="00585D94"/>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66217"/>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724"/>
    <w:rsid w:val="0069259B"/>
    <w:rsid w:val="0069408F"/>
    <w:rsid w:val="00697EA1"/>
    <w:rsid w:val="006A2B4E"/>
    <w:rsid w:val="006A3795"/>
    <w:rsid w:val="006A40DA"/>
    <w:rsid w:val="006A4E28"/>
    <w:rsid w:val="006A4FAA"/>
    <w:rsid w:val="006A5167"/>
    <w:rsid w:val="006A6C65"/>
    <w:rsid w:val="006A7EBF"/>
    <w:rsid w:val="006B286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4BBD"/>
    <w:rsid w:val="006D5019"/>
    <w:rsid w:val="006D6CEA"/>
    <w:rsid w:val="006D70CD"/>
    <w:rsid w:val="006D789C"/>
    <w:rsid w:val="006E0FF3"/>
    <w:rsid w:val="006E102E"/>
    <w:rsid w:val="006E2090"/>
    <w:rsid w:val="006E2AA4"/>
    <w:rsid w:val="006E3433"/>
    <w:rsid w:val="006E426D"/>
    <w:rsid w:val="006E5A88"/>
    <w:rsid w:val="006E67B2"/>
    <w:rsid w:val="006E73A6"/>
    <w:rsid w:val="006E7FB1"/>
    <w:rsid w:val="006F15BF"/>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D2A"/>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4FA6"/>
    <w:rsid w:val="007C50B2"/>
    <w:rsid w:val="007C7765"/>
    <w:rsid w:val="007D0C03"/>
    <w:rsid w:val="007D1EC1"/>
    <w:rsid w:val="007D464C"/>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2732"/>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795"/>
    <w:rsid w:val="00867B4E"/>
    <w:rsid w:val="0087120E"/>
    <w:rsid w:val="0087167C"/>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273"/>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CA6"/>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4858"/>
    <w:rsid w:val="0096558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5C02"/>
    <w:rsid w:val="00986240"/>
    <w:rsid w:val="009863A9"/>
    <w:rsid w:val="009872E1"/>
    <w:rsid w:val="00987719"/>
    <w:rsid w:val="00987C13"/>
    <w:rsid w:val="00990A4A"/>
    <w:rsid w:val="00990BAE"/>
    <w:rsid w:val="00991CBD"/>
    <w:rsid w:val="00992488"/>
    <w:rsid w:val="009924E5"/>
    <w:rsid w:val="009929A2"/>
    <w:rsid w:val="009946FD"/>
    <w:rsid w:val="00994CED"/>
    <w:rsid w:val="00996F85"/>
    <w:rsid w:val="00997652"/>
    <w:rsid w:val="00997B6A"/>
    <w:rsid w:val="009A019B"/>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2ADC"/>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486F"/>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2FED"/>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2A4A"/>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917"/>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4CF"/>
    <w:rsid w:val="00CF1B86"/>
    <w:rsid w:val="00CF26E9"/>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6881"/>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A5FE8"/>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5D65"/>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724"/>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00C1"/>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5E9"/>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3B"/>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 w:type="table" w:styleId="TableGrid">
    <w:name w:val="Table Grid"/>
    <w:basedOn w:val="TableNormal"/>
    <w:uiPriority w:val="39"/>
    <w:rsid w:val="00A8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public/files/Publications/Maths/KS2_KS3_Maths_Guidance_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897806/Maths_guidance_KS_1_and_2.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choosing-a-phonics-teaching-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6305</TotalTime>
  <Pages>9</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11862</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SCH8752014</cp:lastModifiedBy>
  <cp:revision>30</cp:revision>
  <cp:lastPrinted>2022-03-08T13:58:00Z</cp:lastPrinted>
  <dcterms:created xsi:type="dcterms:W3CDTF">2022-01-06T15:54:00Z</dcterms:created>
  <dcterms:modified xsi:type="dcterms:W3CDTF">2022-03-11T14:50:00Z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