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F102" w14:textId="73468AA7" w:rsidR="00562163" w:rsidRPr="000432BB" w:rsidRDefault="00562163" w:rsidP="00562163">
      <w:pPr>
        <w:jc w:val="center"/>
        <w:rPr>
          <w:b/>
          <w:bCs/>
          <w:sz w:val="24"/>
          <w:szCs w:val="24"/>
        </w:rPr>
      </w:pPr>
      <w:r w:rsidRPr="000432BB">
        <w:rPr>
          <w:b/>
          <w:bCs/>
          <w:sz w:val="24"/>
          <w:szCs w:val="24"/>
        </w:rPr>
        <w:t>Mission Statement</w:t>
      </w:r>
    </w:p>
    <w:p w14:paraId="26EABE6C" w14:textId="1697F6CD" w:rsidR="00562163" w:rsidRPr="000432BB" w:rsidRDefault="00562163" w:rsidP="00562163">
      <w:pPr>
        <w:jc w:val="center"/>
        <w:rPr>
          <w:i/>
          <w:iCs/>
          <w:sz w:val="24"/>
          <w:szCs w:val="24"/>
        </w:rPr>
      </w:pPr>
      <w:r w:rsidRPr="000432BB">
        <w:rPr>
          <w:i/>
          <w:iCs/>
          <w:sz w:val="24"/>
          <w:szCs w:val="24"/>
        </w:rPr>
        <w:t>‘Nurturing Hearts and Minds’</w:t>
      </w:r>
    </w:p>
    <w:p w14:paraId="63686537" w14:textId="63B12FE8" w:rsidR="00562163" w:rsidRPr="000432BB" w:rsidRDefault="00562163" w:rsidP="00562163">
      <w:pPr>
        <w:jc w:val="center"/>
        <w:rPr>
          <w:rFonts w:ascii="Calibri" w:hAnsi="Calibri" w:cs="Calibri"/>
          <w:sz w:val="24"/>
          <w:szCs w:val="24"/>
        </w:rPr>
      </w:pPr>
      <w:r w:rsidRPr="000432BB">
        <w:rPr>
          <w:rFonts w:ascii="Calibri" w:hAnsi="Calibri" w:cs="Calibri"/>
          <w:sz w:val="24"/>
          <w:szCs w:val="24"/>
        </w:rPr>
        <w:t>God’s love is at the heart of all that we do at St Gabriel’s Catholic Primary School.</w:t>
      </w:r>
    </w:p>
    <w:p w14:paraId="10D8AEA8" w14:textId="48194751" w:rsidR="00562163" w:rsidRPr="000432BB" w:rsidRDefault="00562163" w:rsidP="00562163">
      <w:pPr>
        <w:jc w:val="center"/>
        <w:rPr>
          <w:rFonts w:ascii="Calibri" w:hAnsi="Calibri" w:cs="Calibri"/>
          <w:sz w:val="24"/>
          <w:szCs w:val="24"/>
        </w:rPr>
      </w:pPr>
      <w:r w:rsidRPr="000432BB">
        <w:rPr>
          <w:rFonts w:ascii="Calibri" w:hAnsi="Calibri" w:cs="Calibri"/>
          <w:sz w:val="24"/>
          <w:szCs w:val="24"/>
        </w:rPr>
        <w:t>Hearts and Minds are nurtured in a stimulating and safe environment. We believe that every child is unique, and we nurture each child through a creative and rounded curriculum to reach their full potential. Talents are celebrated and differences are respected within a strong, supportive Catholic community.</w:t>
      </w:r>
    </w:p>
    <w:p w14:paraId="672208B1" w14:textId="7E813D04" w:rsidR="00562163" w:rsidRPr="000432BB" w:rsidRDefault="00562163" w:rsidP="000432BB">
      <w:pPr>
        <w:jc w:val="center"/>
        <w:rPr>
          <w:rFonts w:ascii="Calibri" w:hAnsi="Calibri" w:cs="Calibri"/>
          <w:sz w:val="24"/>
          <w:szCs w:val="24"/>
        </w:rPr>
      </w:pPr>
      <w:r w:rsidRPr="000432BB">
        <w:rPr>
          <w:rFonts w:ascii="Calibri" w:hAnsi="Calibri" w:cs="Calibri"/>
          <w:sz w:val="24"/>
          <w:szCs w:val="24"/>
        </w:rPr>
        <w:t>At St Gabriel’s children learn to love, respect and care for each other and God’s entire world. Our school is a place where children are filled with a love of life and learning.</w:t>
      </w:r>
    </w:p>
    <w:p w14:paraId="438AE00F" w14:textId="2EB94EBA" w:rsidR="00562163" w:rsidRPr="000432BB" w:rsidRDefault="00562163" w:rsidP="00562163">
      <w:pPr>
        <w:jc w:val="center"/>
        <w:rPr>
          <w:b/>
          <w:bCs/>
          <w:sz w:val="28"/>
          <w:szCs w:val="28"/>
        </w:rPr>
      </w:pPr>
      <w:r w:rsidRPr="000432BB">
        <w:rPr>
          <w:b/>
          <w:bCs/>
          <w:sz w:val="28"/>
          <w:szCs w:val="28"/>
        </w:rPr>
        <w:t>The governing body for the academic year 202</w:t>
      </w:r>
      <w:r w:rsidR="00C7331D">
        <w:rPr>
          <w:b/>
          <w:bCs/>
          <w:sz w:val="28"/>
          <w:szCs w:val="28"/>
        </w:rPr>
        <w:t>4</w:t>
      </w:r>
      <w:r w:rsidRPr="000432BB">
        <w:rPr>
          <w:b/>
          <w:bCs/>
          <w:sz w:val="28"/>
          <w:szCs w:val="28"/>
        </w:rPr>
        <w:t>-2</w:t>
      </w:r>
      <w:r w:rsidR="00C7331D">
        <w:rPr>
          <w:b/>
          <w:bCs/>
          <w:sz w:val="28"/>
          <w:szCs w:val="28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62163" w14:paraId="06C2E40E" w14:textId="77777777" w:rsidTr="00562163">
        <w:tc>
          <w:tcPr>
            <w:tcW w:w="3256" w:type="dxa"/>
          </w:tcPr>
          <w:p w14:paraId="1A1BE9C5" w14:textId="77777777" w:rsidR="00562163" w:rsidRPr="000432BB" w:rsidRDefault="00562163" w:rsidP="00562163">
            <w:pPr>
              <w:jc w:val="center"/>
              <w:rPr>
                <w:b/>
                <w:bCs/>
                <w:sz w:val="28"/>
                <w:szCs w:val="28"/>
              </w:rPr>
            </w:pPr>
            <w:r w:rsidRPr="000432BB">
              <w:rPr>
                <w:b/>
                <w:bCs/>
                <w:sz w:val="28"/>
                <w:szCs w:val="28"/>
              </w:rPr>
              <w:t>Chair</w:t>
            </w:r>
          </w:p>
          <w:p w14:paraId="4FB2259B" w14:textId="4732CD81" w:rsidR="000432BB" w:rsidRPr="000432BB" w:rsidRDefault="000432BB" w:rsidP="005621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00598EAB" w14:textId="1A09A142" w:rsidR="00562163" w:rsidRPr="000432BB" w:rsidRDefault="001C2BCC" w:rsidP="000432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Gerard Silverlock</w:t>
            </w:r>
          </w:p>
        </w:tc>
      </w:tr>
      <w:tr w:rsidR="00562163" w14:paraId="01AEAFD2" w14:textId="77777777" w:rsidTr="00562163">
        <w:tc>
          <w:tcPr>
            <w:tcW w:w="3256" w:type="dxa"/>
          </w:tcPr>
          <w:p w14:paraId="344DA9AE" w14:textId="77777777" w:rsidR="00562163" w:rsidRPr="000432BB" w:rsidRDefault="00562163" w:rsidP="00562163">
            <w:pPr>
              <w:jc w:val="center"/>
              <w:rPr>
                <w:b/>
                <w:bCs/>
                <w:sz w:val="28"/>
                <w:szCs w:val="28"/>
              </w:rPr>
            </w:pPr>
            <w:r w:rsidRPr="000432BB">
              <w:rPr>
                <w:b/>
                <w:bCs/>
                <w:sz w:val="28"/>
                <w:szCs w:val="28"/>
              </w:rPr>
              <w:t>Vice Chair</w:t>
            </w:r>
          </w:p>
          <w:p w14:paraId="7DB3ADD2" w14:textId="4D83E534" w:rsidR="000432BB" w:rsidRPr="000432BB" w:rsidRDefault="000432BB" w:rsidP="005621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71205D78" w14:textId="33A408CC" w:rsidR="00562163" w:rsidRPr="000432BB" w:rsidRDefault="001C2BCC" w:rsidP="000432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Jonathan Luxford</w:t>
            </w:r>
          </w:p>
        </w:tc>
      </w:tr>
      <w:tr w:rsidR="00562163" w14:paraId="605E5676" w14:textId="77777777" w:rsidTr="00562163">
        <w:tc>
          <w:tcPr>
            <w:tcW w:w="3256" w:type="dxa"/>
          </w:tcPr>
          <w:p w14:paraId="3C001B54" w14:textId="77777777" w:rsidR="00562163" w:rsidRPr="000432BB" w:rsidRDefault="00562163" w:rsidP="00562163">
            <w:pPr>
              <w:jc w:val="center"/>
              <w:rPr>
                <w:b/>
                <w:bCs/>
                <w:sz w:val="28"/>
                <w:szCs w:val="28"/>
              </w:rPr>
            </w:pPr>
            <w:r w:rsidRPr="000432BB">
              <w:rPr>
                <w:b/>
                <w:bCs/>
                <w:sz w:val="28"/>
                <w:szCs w:val="28"/>
              </w:rPr>
              <w:t>Parish Priest</w:t>
            </w:r>
          </w:p>
          <w:p w14:paraId="4D5C5D4C" w14:textId="66BBCBBC" w:rsidR="000432BB" w:rsidRPr="000432BB" w:rsidRDefault="000432BB" w:rsidP="005621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6B741BE0" w14:textId="7085A9FB" w:rsidR="00562163" w:rsidRPr="000432BB" w:rsidRDefault="000432BB" w:rsidP="000432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Fr Tony Grace</w:t>
            </w:r>
          </w:p>
        </w:tc>
      </w:tr>
      <w:tr w:rsidR="00562163" w14:paraId="7F493BB3" w14:textId="77777777" w:rsidTr="00562163">
        <w:tc>
          <w:tcPr>
            <w:tcW w:w="3256" w:type="dxa"/>
          </w:tcPr>
          <w:p w14:paraId="0D6FA995" w14:textId="77777777" w:rsidR="00562163" w:rsidRPr="000432BB" w:rsidRDefault="00562163" w:rsidP="00562163">
            <w:pPr>
              <w:jc w:val="center"/>
              <w:rPr>
                <w:b/>
                <w:bCs/>
                <w:sz w:val="28"/>
                <w:szCs w:val="28"/>
              </w:rPr>
            </w:pPr>
            <w:r w:rsidRPr="000432BB">
              <w:rPr>
                <w:b/>
                <w:bCs/>
                <w:sz w:val="28"/>
                <w:szCs w:val="28"/>
              </w:rPr>
              <w:t>Foundation Governor</w:t>
            </w:r>
          </w:p>
          <w:p w14:paraId="259BBC12" w14:textId="03C9A8FC" w:rsidR="000432BB" w:rsidRPr="000432BB" w:rsidRDefault="000432BB" w:rsidP="005621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628ABB88" w14:textId="6B4AE310" w:rsidR="00562163" w:rsidRPr="000432BB" w:rsidRDefault="000432BB" w:rsidP="000432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Joe O’Too</w:t>
            </w:r>
            <w:r w:rsidR="005F080D">
              <w:rPr>
                <w:rFonts w:ascii="Calibri" w:hAnsi="Calibri" w:cs="Calibri"/>
                <w:b/>
                <w:bCs/>
                <w:sz w:val="28"/>
                <w:szCs w:val="28"/>
              </w:rPr>
              <w:t>le</w:t>
            </w:r>
          </w:p>
        </w:tc>
      </w:tr>
      <w:tr w:rsidR="00562163" w14:paraId="420125F2" w14:textId="77777777" w:rsidTr="00562163">
        <w:tc>
          <w:tcPr>
            <w:tcW w:w="3256" w:type="dxa"/>
          </w:tcPr>
          <w:p w14:paraId="3C445465" w14:textId="77777777" w:rsidR="00562163" w:rsidRPr="000432BB" w:rsidRDefault="00562163" w:rsidP="00562163">
            <w:pPr>
              <w:jc w:val="center"/>
              <w:rPr>
                <w:b/>
                <w:bCs/>
                <w:sz w:val="28"/>
                <w:szCs w:val="28"/>
              </w:rPr>
            </w:pPr>
            <w:r w:rsidRPr="000432BB">
              <w:rPr>
                <w:b/>
                <w:bCs/>
                <w:sz w:val="28"/>
                <w:szCs w:val="28"/>
              </w:rPr>
              <w:t>Foundation Governor</w:t>
            </w:r>
          </w:p>
          <w:p w14:paraId="3784466D" w14:textId="11BC369D" w:rsidR="000432BB" w:rsidRPr="000432BB" w:rsidRDefault="000432BB" w:rsidP="005621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688E9BF0" w14:textId="4D7EFE53" w:rsidR="00562163" w:rsidRPr="000432BB" w:rsidRDefault="005F080D" w:rsidP="000432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Michael Mitchell</w:t>
            </w:r>
          </w:p>
        </w:tc>
      </w:tr>
      <w:tr w:rsidR="00562163" w14:paraId="3F8A13C1" w14:textId="77777777" w:rsidTr="00562163">
        <w:tc>
          <w:tcPr>
            <w:tcW w:w="3256" w:type="dxa"/>
          </w:tcPr>
          <w:p w14:paraId="0D185F2A" w14:textId="77777777" w:rsidR="00562163" w:rsidRPr="000432BB" w:rsidRDefault="00562163" w:rsidP="00562163">
            <w:pPr>
              <w:jc w:val="center"/>
              <w:rPr>
                <w:b/>
                <w:bCs/>
                <w:sz w:val="28"/>
                <w:szCs w:val="28"/>
              </w:rPr>
            </w:pPr>
            <w:r w:rsidRPr="000432BB">
              <w:rPr>
                <w:b/>
                <w:bCs/>
                <w:sz w:val="28"/>
                <w:szCs w:val="28"/>
              </w:rPr>
              <w:t>Foundation Governor</w:t>
            </w:r>
          </w:p>
          <w:p w14:paraId="41199400" w14:textId="5977EF0B" w:rsidR="000432BB" w:rsidRPr="000432BB" w:rsidRDefault="000432BB" w:rsidP="005621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0D4F8ABC" w14:textId="2702448D" w:rsidR="00562163" w:rsidRPr="000432BB" w:rsidRDefault="005F080D" w:rsidP="000432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Katie Poole</w:t>
            </w:r>
          </w:p>
        </w:tc>
      </w:tr>
      <w:tr w:rsidR="00562163" w14:paraId="3AFF2522" w14:textId="77777777" w:rsidTr="00562163">
        <w:tc>
          <w:tcPr>
            <w:tcW w:w="3256" w:type="dxa"/>
          </w:tcPr>
          <w:p w14:paraId="6C983D7B" w14:textId="77777777" w:rsidR="00562163" w:rsidRPr="000432BB" w:rsidRDefault="00562163" w:rsidP="00562163">
            <w:pPr>
              <w:jc w:val="center"/>
              <w:rPr>
                <w:b/>
                <w:bCs/>
                <w:sz w:val="28"/>
                <w:szCs w:val="28"/>
              </w:rPr>
            </w:pPr>
            <w:r w:rsidRPr="000432BB">
              <w:rPr>
                <w:b/>
                <w:bCs/>
                <w:sz w:val="28"/>
                <w:szCs w:val="28"/>
              </w:rPr>
              <w:t>Foundation Governor</w:t>
            </w:r>
          </w:p>
          <w:p w14:paraId="2F24BB91" w14:textId="10E349A4" w:rsidR="000432BB" w:rsidRPr="000432BB" w:rsidRDefault="000432BB" w:rsidP="005621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2F3C6518" w14:textId="566B7E39" w:rsidR="00562163" w:rsidRPr="000432BB" w:rsidRDefault="000432BB" w:rsidP="000432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Sue Edge</w:t>
            </w:r>
          </w:p>
        </w:tc>
      </w:tr>
      <w:tr w:rsidR="00562163" w14:paraId="191039A7" w14:textId="77777777" w:rsidTr="00562163">
        <w:tc>
          <w:tcPr>
            <w:tcW w:w="3256" w:type="dxa"/>
          </w:tcPr>
          <w:p w14:paraId="489ED252" w14:textId="77777777" w:rsidR="00562163" w:rsidRPr="000432BB" w:rsidRDefault="00562163" w:rsidP="00562163">
            <w:pPr>
              <w:jc w:val="center"/>
              <w:rPr>
                <w:b/>
                <w:bCs/>
                <w:sz w:val="28"/>
                <w:szCs w:val="28"/>
              </w:rPr>
            </w:pPr>
            <w:r w:rsidRPr="000432BB">
              <w:rPr>
                <w:b/>
                <w:bCs/>
                <w:sz w:val="28"/>
                <w:szCs w:val="28"/>
              </w:rPr>
              <w:t>Local Authority Governor</w:t>
            </w:r>
          </w:p>
          <w:p w14:paraId="694053E7" w14:textId="3F876584" w:rsidR="000432BB" w:rsidRPr="000432BB" w:rsidRDefault="000432BB" w:rsidP="005621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63DFBADA" w14:textId="3DDCAADC" w:rsidR="00562163" w:rsidRPr="000432BB" w:rsidRDefault="000432BB" w:rsidP="000432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Catherine Fox</w:t>
            </w:r>
          </w:p>
        </w:tc>
      </w:tr>
      <w:tr w:rsidR="00562163" w14:paraId="41A07474" w14:textId="77777777" w:rsidTr="00562163">
        <w:tc>
          <w:tcPr>
            <w:tcW w:w="3256" w:type="dxa"/>
          </w:tcPr>
          <w:p w14:paraId="204FC105" w14:textId="77777777" w:rsidR="00562163" w:rsidRPr="000432BB" w:rsidRDefault="00562163" w:rsidP="00562163">
            <w:pPr>
              <w:jc w:val="center"/>
              <w:rPr>
                <w:b/>
                <w:bCs/>
                <w:sz w:val="28"/>
                <w:szCs w:val="28"/>
              </w:rPr>
            </w:pPr>
            <w:r w:rsidRPr="000432BB">
              <w:rPr>
                <w:b/>
                <w:bCs/>
                <w:sz w:val="28"/>
                <w:szCs w:val="28"/>
              </w:rPr>
              <w:t>Parent Governor</w:t>
            </w:r>
          </w:p>
          <w:p w14:paraId="1E808A32" w14:textId="30DB6A4F" w:rsidR="000432BB" w:rsidRPr="000432BB" w:rsidRDefault="000432BB" w:rsidP="005621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4442616D" w14:textId="0CB5000E" w:rsidR="00562163" w:rsidRPr="000432BB" w:rsidRDefault="00BB502F" w:rsidP="000432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Charlotte Bazquez-Hunt</w:t>
            </w:r>
          </w:p>
        </w:tc>
      </w:tr>
      <w:tr w:rsidR="00562163" w14:paraId="743C5F7B" w14:textId="77777777" w:rsidTr="00562163">
        <w:tc>
          <w:tcPr>
            <w:tcW w:w="3256" w:type="dxa"/>
          </w:tcPr>
          <w:p w14:paraId="2DFA357B" w14:textId="77777777" w:rsidR="00562163" w:rsidRPr="000432BB" w:rsidRDefault="00562163" w:rsidP="00562163">
            <w:pPr>
              <w:jc w:val="center"/>
              <w:rPr>
                <w:b/>
                <w:bCs/>
                <w:sz w:val="28"/>
                <w:szCs w:val="28"/>
              </w:rPr>
            </w:pPr>
            <w:r w:rsidRPr="000432BB">
              <w:rPr>
                <w:b/>
                <w:bCs/>
                <w:sz w:val="28"/>
                <w:szCs w:val="28"/>
              </w:rPr>
              <w:t>Parent Governor</w:t>
            </w:r>
          </w:p>
          <w:p w14:paraId="43A06886" w14:textId="37A526BC" w:rsidR="000432BB" w:rsidRPr="000432BB" w:rsidRDefault="000432BB" w:rsidP="005621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7BD6A31C" w14:textId="347C152F" w:rsidR="00562163" w:rsidRPr="000432BB" w:rsidRDefault="000432BB" w:rsidP="000432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Ruth Reeves</w:t>
            </w:r>
          </w:p>
        </w:tc>
      </w:tr>
      <w:tr w:rsidR="00562163" w14:paraId="50E10670" w14:textId="77777777" w:rsidTr="00562163">
        <w:tc>
          <w:tcPr>
            <w:tcW w:w="3256" w:type="dxa"/>
          </w:tcPr>
          <w:p w14:paraId="72DA83DD" w14:textId="77777777" w:rsidR="00562163" w:rsidRPr="000432BB" w:rsidRDefault="00562163" w:rsidP="00562163">
            <w:pPr>
              <w:jc w:val="center"/>
              <w:rPr>
                <w:b/>
                <w:bCs/>
                <w:sz w:val="28"/>
                <w:szCs w:val="28"/>
              </w:rPr>
            </w:pPr>
            <w:r w:rsidRPr="000432BB">
              <w:rPr>
                <w:b/>
                <w:bCs/>
                <w:sz w:val="28"/>
                <w:szCs w:val="28"/>
              </w:rPr>
              <w:t>Staff Governor</w:t>
            </w:r>
          </w:p>
          <w:p w14:paraId="6F328411" w14:textId="74EE22EC" w:rsidR="000432BB" w:rsidRPr="000432BB" w:rsidRDefault="000432BB" w:rsidP="005621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00016735" w14:textId="0AFC0117" w:rsidR="00562163" w:rsidRPr="000432BB" w:rsidRDefault="000432BB" w:rsidP="000432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Rebecca Schauer</w:t>
            </w:r>
          </w:p>
        </w:tc>
      </w:tr>
      <w:tr w:rsidR="00562163" w14:paraId="62BE3978" w14:textId="77777777" w:rsidTr="00562163">
        <w:tc>
          <w:tcPr>
            <w:tcW w:w="3256" w:type="dxa"/>
          </w:tcPr>
          <w:p w14:paraId="103A928F" w14:textId="77777777" w:rsidR="00562163" w:rsidRPr="000432BB" w:rsidRDefault="00562163" w:rsidP="00562163">
            <w:pPr>
              <w:jc w:val="center"/>
              <w:rPr>
                <w:b/>
                <w:bCs/>
                <w:sz w:val="28"/>
                <w:szCs w:val="28"/>
              </w:rPr>
            </w:pPr>
            <w:r w:rsidRPr="000432BB">
              <w:rPr>
                <w:b/>
                <w:bCs/>
                <w:sz w:val="28"/>
                <w:szCs w:val="28"/>
              </w:rPr>
              <w:t>Associate Governor</w:t>
            </w:r>
          </w:p>
          <w:p w14:paraId="4B27EAB1" w14:textId="49C21B25" w:rsidR="000432BB" w:rsidRPr="000432BB" w:rsidRDefault="000432BB" w:rsidP="005621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55636FA0" w14:textId="0D63A2D1" w:rsidR="00562163" w:rsidRPr="000432BB" w:rsidRDefault="000432BB" w:rsidP="000432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Claire Stevenson</w:t>
            </w:r>
          </w:p>
        </w:tc>
      </w:tr>
      <w:tr w:rsidR="00562163" w14:paraId="328B5882" w14:textId="77777777" w:rsidTr="00562163">
        <w:tc>
          <w:tcPr>
            <w:tcW w:w="3256" w:type="dxa"/>
          </w:tcPr>
          <w:p w14:paraId="702A3209" w14:textId="77777777" w:rsidR="00562163" w:rsidRPr="000432BB" w:rsidRDefault="00562163" w:rsidP="00562163">
            <w:pPr>
              <w:jc w:val="center"/>
              <w:rPr>
                <w:b/>
                <w:bCs/>
                <w:sz w:val="28"/>
                <w:szCs w:val="28"/>
              </w:rPr>
            </w:pPr>
            <w:r w:rsidRPr="000432BB">
              <w:rPr>
                <w:b/>
                <w:bCs/>
                <w:sz w:val="28"/>
                <w:szCs w:val="28"/>
              </w:rPr>
              <w:t>Headteacher</w:t>
            </w:r>
          </w:p>
          <w:p w14:paraId="36AFA376" w14:textId="588113BF" w:rsidR="000432BB" w:rsidRPr="000432BB" w:rsidRDefault="000432BB" w:rsidP="0056216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14:paraId="0B1EAACE" w14:textId="5B9AC226" w:rsidR="00562163" w:rsidRPr="000432BB" w:rsidRDefault="000432BB" w:rsidP="000432B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Edward Byrne</w:t>
            </w:r>
          </w:p>
        </w:tc>
      </w:tr>
    </w:tbl>
    <w:p w14:paraId="6F3D517D" w14:textId="77777777" w:rsidR="00562163" w:rsidRDefault="00562163" w:rsidP="00562163">
      <w:pPr>
        <w:jc w:val="center"/>
        <w:rPr>
          <w:b/>
          <w:bCs/>
        </w:rPr>
      </w:pPr>
    </w:p>
    <w:p w14:paraId="7CFE4EEB" w14:textId="1F14632C" w:rsidR="00996BB4" w:rsidRDefault="00996BB4" w:rsidP="000432BB">
      <w:r>
        <w:lastRenderedPageBreak/>
        <w:t>St. Gabriel’s Roman Catholic Primary School is now fifty years old! Although the weather was not kind to us on Friday 4 July</w:t>
      </w:r>
      <w:r w:rsidR="00857AD0">
        <w:t xml:space="preserve">, the intermittent rain could not dampen the celebratory atmosphere. </w:t>
      </w:r>
      <w:r w:rsidR="00016E01">
        <w:t>Parents and staff worked extremely hard</w:t>
      </w:r>
      <w:r w:rsidR="0026324F">
        <w:t xml:space="preserve"> to organise a </w:t>
      </w:r>
      <w:r w:rsidR="00177A37">
        <w:t xml:space="preserve">super summer </w:t>
      </w:r>
      <w:proofErr w:type="spellStart"/>
      <w:r w:rsidR="00177A37">
        <w:t>fair</w:t>
      </w:r>
      <w:proofErr w:type="spellEnd"/>
      <w:r w:rsidR="00177A37">
        <w:t xml:space="preserve"> on the playing fields and we were delighted to be joined by our </w:t>
      </w:r>
      <w:r w:rsidR="00D35D75">
        <w:t xml:space="preserve">Member of Parliament, Mrs Sarah Russell. </w:t>
      </w:r>
      <w:r w:rsidR="00431AA7">
        <w:t xml:space="preserve">There were refreshments, music, </w:t>
      </w:r>
      <w:r w:rsidR="00D95D08">
        <w:t>games and even an opportunity to hurl wet sponges at the ‘criminals’, including Mr Byrne, who had to spend time in the stocks.</w:t>
      </w:r>
      <w:r w:rsidR="004741CB">
        <w:t xml:space="preserve"> I think it would be fai</w:t>
      </w:r>
      <w:r w:rsidR="00812EBA">
        <w:t>r</w:t>
      </w:r>
      <w:r w:rsidR="004741CB">
        <w:t xml:space="preserve"> to say that a good time was had by all.</w:t>
      </w:r>
    </w:p>
    <w:p w14:paraId="1C4A75CA" w14:textId="657DBA5C" w:rsidR="004741CB" w:rsidRDefault="000C75B0" w:rsidP="000432BB">
      <w:r>
        <w:t xml:space="preserve">Just a few days after the summer fair, the school received the SATs results </w:t>
      </w:r>
      <w:r w:rsidR="00D81381">
        <w:t>for the Year 6 pupils.</w:t>
      </w:r>
      <w:r w:rsidR="008822C2">
        <w:t xml:space="preserve"> </w:t>
      </w:r>
      <w:r w:rsidR="00F83B45">
        <w:t xml:space="preserve">Mr Byrne and all the staff were delighted that the boys and girls </w:t>
      </w:r>
      <w:r w:rsidR="000E2107">
        <w:t>achieved results which, once again, p</w:t>
      </w:r>
      <w:r w:rsidR="000A49E1">
        <w:t>lace</w:t>
      </w:r>
      <w:r w:rsidR="000E2107">
        <w:t xml:space="preserve"> the school above </w:t>
      </w:r>
      <w:r w:rsidR="00FE1D89">
        <w:t xml:space="preserve">the Cheshire East and national averages for reading and mathematics. This is testament to the children’s hard work and </w:t>
      </w:r>
      <w:r w:rsidR="007857B4">
        <w:t>the excellent support and guidance from their teachers and teaching assi</w:t>
      </w:r>
      <w:r w:rsidR="008A39F1">
        <w:t>s</w:t>
      </w:r>
      <w:r w:rsidR="007857B4">
        <w:t>tants.</w:t>
      </w:r>
    </w:p>
    <w:p w14:paraId="23F06117" w14:textId="3E8F22B9" w:rsidR="008A39F1" w:rsidRDefault="008A39F1" w:rsidP="000432BB">
      <w:r>
        <w:t xml:space="preserve">The Year 6 pupils </w:t>
      </w:r>
      <w:r w:rsidR="00DE178E">
        <w:t xml:space="preserve">will, of course, shortly be leaving us to begin the next stage of their education at </w:t>
      </w:r>
      <w:r w:rsidR="001454F2">
        <w:t xml:space="preserve">their senior schools. We would like to take this opportunity to thank them and wish them all </w:t>
      </w:r>
      <w:r w:rsidR="003547CE">
        <w:t>the best for the future. We hope to see them back at St. Gabriel’s from time to time.</w:t>
      </w:r>
    </w:p>
    <w:p w14:paraId="27A3B0D3" w14:textId="2D9EE61D" w:rsidR="003547CE" w:rsidRDefault="009E0D49" w:rsidP="000432BB">
      <w:r>
        <w:t xml:space="preserve">Academic work is important but </w:t>
      </w:r>
      <w:r w:rsidR="0063139C">
        <w:t>school is about so much more than th</w:t>
      </w:r>
      <w:r w:rsidR="000A49E1">
        <w:t>is</w:t>
      </w:r>
      <w:r w:rsidR="0063139C">
        <w:t xml:space="preserve">. I think that everyone recognises that St. Gabriel’s is a special place </w:t>
      </w:r>
      <w:r w:rsidR="001517CD">
        <w:t xml:space="preserve">with a warm, welcoming and supportive atmosphere </w:t>
      </w:r>
      <w:r w:rsidR="00B6720D">
        <w:t xml:space="preserve">based </w:t>
      </w:r>
      <w:r w:rsidR="0034733D">
        <w:t>o</w:t>
      </w:r>
      <w:r w:rsidR="00B6720D">
        <w:t xml:space="preserve">n a firm commitment to the Roman Catholic faith. </w:t>
      </w:r>
      <w:r w:rsidR="003E6660">
        <w:t xml:space="preserve">While taking delight in the pupils’ achievements and </w:t>
      </w:r>
      <w:r w:rsidR="0034733D">
        <w:t xml:space="preserve">the fiftieth birthday celebrations, we </w:t>
      </w:r>
      <w:r w:rsidR="006D1FD6">
        <w:t xml:space="preserve">are all too </w:t>
      </w:r>
      <w:proofErr w:type="gramStart"/>
      <w:r w:rsidR="006D1FD6">
        <w:t>well aware</w:t>
      </w:r>
      <w:proofErr w:type="gramEnd"/>
      <w:r w:rsidR="006D1FD6">
        <w:t xml:space="preserve"> that tragedy and sadness </w:t>
      </w:r>
      <w:r w:rsidR="00B255DD">
        <w:t xml:space="preserve">have affected the lives of some in the community. </w:t>
      </w:r>
      <w:r w:rsidR="00832044">
        <w:t xml:space="preserve">We hope and pray that time and the friendships made in the school </w:t>
      </w:r>
      <w:r w:rsidR="00895A0B">
        <w:t>will bring healing and a renewed sense of optimism.</w:t>
      </w:r>
    </w:p>
    <w:p w14:paraId="1C2E0BB3" w14:textId="3E4A3750" w:rsidR="00F64CA3" w:rsidRDefault="00F64CA3" w:rsidP="000432BB">
      <w:r>
        <w:t>On behalf of all the governors, warm wishes</w:t>
      </w:r>
      <w:r w:rsidR="000B7A12">
        <w:t xml:space="preserve"> for the summer holidays </w:t>
      </w:r>
    </w:p>
    <w:p w14:paraId="2E3A42C6" w14:textId="68EEE106" w:rsidR="00F64CA3" w:rsidRDefault="00F64CA3" w:rsidP="000432BB">
      <w:r>
        <w:t>Gerard Silverlock</w:t>
      </w:r>
    </w:p>
    <w:p w14:paraId="18EFF237" w14:textId="10CC5972" w:rsidR="00F64CA3" w:rsidRPr="000432BB" w:rsidRDefault="00F64CA3" w:rsidP="000432BB">
      <w:r>
        <w:t>Chair of Governors.</w:t>
      </w:r>
    </w:p>
    <w:sectPr w:rsidR="00F64CA3" w:rsidRPr="00043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63"/>
    <w:rsid w:val="00016E01"/>
    <w:rsid w:val="000432BB"/>
    <w:rsid w:val="000A49E1"/>
    <w:rsid w:val="000B4EC6"/>
    <w:rsid w:val="000B7A12"/>
    <w:rsid w:val="000C75B0"/>
    <w:rsid w:val="000E2107"/>
    <w:rsid w:val="001454F2"/>
    <w:rsid w:val="001517CD"/>
    <w:rsid w:val="00177A37"/>
    <w:rsid w:val="001862F6"/>
    <w:rsid w:val="001C2BCC"/>
    <w:rsid w:val="002031B2"/>
    <w:rsid w:val="0026324F"/>
    <w:rsid w:val="0034733D"/>
    <w:rsid w:val="003547CE"/>
    <w:rsid w:val="003E6660"/>
    <w:rsid w:val="00431AA7"/>
    <w:rsid w:val="00440040"/>
    <w:rsid w:val="004741CB"/>
    <w:rsid w:val="00562163"/>
    <w:rsid w:val="005F080D"/>
    <w:rsid w:val="0063139C"/>
    <w:rsid w:val="006D1FD6"/>
    <w:rsid w:val="006D54BC"/>
    <w:rsid w:val="007857B4"/>
    <w:rsid w:val="00812EBA"/>
    <w:rsid w:val="00832044"/>
    <w:rsid w:val="00853608"/>
    <w:rsid w:val="00857AD0"/>
    <w:rsid w:val="008822C2"/>
    <w:rsid w:val="00883736"/>
    <w:rsid w:val="00895A0B"/>
    <w:rsid w:val="008A39F1"/>
    <w:rsid w:val="008A6AD8"/>
    <w:rsid w:val="00932A98"/>
    <w:rsid w:val="00936E4D"/>
    <w:rsid w:val="00996BB4"/>
    <w:rsid w:val="009E0D49"/>
    <w:rsid w:val="00AA1777"/>
    <w:rsid w:val="00B255DD"/>
    <w:rsid w:val="00B6720D"/>
    <w:rsid w:val="00BB502F"/>
    <w:rsid w:val="00BD0C81"/>
    <w:rsid w:val="00C7331D"/>
    <w:rsid w:val="00CA1219"/>
    <w:rsid w:val="00D138B2"/>
    <w:rsid w:val="00D35D75"/>
    <w:rsid w:val="00D81381"/>
    <w:rsid w:val="00D95D08"/>
    <w:rsid w:val="00DD1E3E"/>
    <w:rsid w:val="00DE178E"/>
    <w:rsid w:val="00F64CA3"/>
    <w:rsid w:val="00F83B45"/>
    <w:rsid w:val="00F87160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C1F0"/>
  <w15:chartTrackingRefBased/>
  <w15:docId w15:val="{C2D12EEF-6965-4478-9A49-A0BED19F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1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Silverlock</dc:creator>
  <cp:keywords/>
  <dc:description/>
  <cp:lastModifiedBy>Gerard Silverlock</cp:lastModifiedBy>
  <cp:revision>47</cp:revision>
  <dcterms:created xsi:type="dcterms:W3CDTF">2025-01-20T19:59:00Z</dcterms:created>
  <dcterms:modified xsi:type="dcterms:W3CDTF">2025-07-11T10:51:00Z</dcterms:modified>
</cp:coreProperties>
</file>